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2BA" w:rsidRPr="00A768CC" w:rsidRDefault="00CB72BA" w:rsidP="00EE64FA">
      <w:pPr>
        <w:pStyle w:val="PGSubTitle"/>
        <w:rPr>
          <w:rFonts w:asciiTheme="minorHAnsi" w:hAnsiTheme="minorHAnsi" w:cstheme="minorHAnsi"/>
          <w:sz w:val="24"/>
        </w:rPr>
      </w:pPr>
      <w:r w:rsidRPr="00A768CC">
        <w:rPr>
          <w:rFonts w:asciiTheme="minorHAnsi" w:hAnsiTheme="minorHAnsi" w:cstheme="minorHAnsi"/>
          <w:sz w:val="24"/>
        </w:rPr>
        <w:t>Economic Outlook</w:t>
      </w:r>
    </w:p>
    <w:p w:rsidR="00CB72BA" w:rsidRPr="00A768CC" w:rsidRDefault="00CB72BA" w:rsidP="00EE64FA">
      <w:pPr>
        <w:pStyle w:val="PGSubTitle"/>
        <w:rPr>
          <w:rFonts w:asciiTheme="minorHAnsi" w:hAnsiTheme="minorHAnsi" w:cstheme="minorHAnsi"/>
          <w:sz w:val="20"/>
          <w:u w:val="none"/>
        </w:rPr>
      </w:pPr>
      <w:r w:rsidRPr="00A768CC">
        <w:rPr>
          <w:rFonts w:asciiTheme="minorHAnsi" w:hAnsiTheme="minorHAnsi" w:cstheme="minorHAnsi"/>
          <w:sz w:val="20"/>
          <w:u w:val="none"/>
        </w:rPr>
        <w:t>By Dr. John McAlhany</w:t>
      </w:r>
    </w:p>
    <w:p w:rsidR="00072B01" w:rsidRPr="00A768CC" w:rsidRDefault="00072B01" w:rsidP="00EE2B8E">
      <w:pPr>
        <w:pStyle w:val="PGNormalJustified"/>
        <w:rPr>
          <w:sz w:val="20"/>
        </w:rPr>
      </w:pPr>
      <w:r w:rsidRPr="00A768CC">
        <w:rPr>
          <w:sz w:val="20"/>
        </w:rPr>
        <w:t>The US economy grew last year at the fastest pace since Ronald Reagan’s presidency, bouncing back from the brief 2020 recession. As measured by GDP, the economy expanded by 5.7% in 2021, the strongest growth since the 7.9% surge following the 1984 recession. However, looking forward, to quote the prominent economist Ed Hyman, we are in “Unprecedented Times” and furthermore, for the future of our economy we “must accept the likelihood that outcomes will be particularly uncertain.</w:t>
      </w:r>
      <w:r w:rsidR="006C059D" w:rsidRPr="00A768CC">
        <w:rPr>
          <w:sz w:val="20"/>
        </w:rPr>
        <w:t>”</w:t>
      </w:r>
    </w:p>
    <w:p w:rsidR="00072B01" w:rsidRPr="00A768CC" w:rsidRDefault="00072B01" w:rsidP="00EE2B8E">
      <w:pPr>
        <w:pStyle w:val="PGNormalJustified"/>
        <w:rPr>
          <w:sz w:val="20"/>
        </w:rPr>
      </w:pPr>
    </w:p>
    <w:p w:rsidR="0028767A" w:rsidRPr="00A768CC" w:rsidRDefault="00072B01" w:rsidP="00EE2B8E">
      <w:pPr>
        <w:pStyle w:val="PGNormalJustified"/>
        <w:rPr>
          <w:sz w:val="20"/>
        </w:rPr>
      </w:pPr>
      <w:r w:rsidRPr="00A768CC">
        <w:rPr>
          <w:sz w:val="20"/>
        </w:rPr>
        <w:t>The economy is currently strong</w:t>
      </w:r>
      <w:r w:rsidR="004F7719" w:rsidRPr="00A768CC">
        <w:rPr>
          <w:sz w:val="20"/>
        </w:rPr>
        <w:t xml:space="preserve"> as j</w:t>
      </w:r>
      <w:r w:rsidRPr="00A768CC">
        <w:rPr>
          <w:sz w:val="20"/>
        </w:rPr>
        <w:t>obs are plentiful with wages and salaries increasing</w:t>
      </w:r>
      <w:r w:rsidR="004F7719" w:rsidRPr="00A768CC">
        <w:rPr>
          <w:sz w:val="20"/>
        </w:rPr>
        <w:t xml:space="preserve">.  This is </w:t>
      </w:r>
      <w:r w:rsidRPr="00A768CC">
        <w:rPr>
          <w:sz w:val="20"/>
        </w:rPr>
        <w:t>adding to consumer savings and their desire to spend</w:t>
      </w:r>
      <w:r w:rsidR="004F7719" w:rsidRPr="00A768CC">
        <w:rPr>
          <w:sz w:val="20"/>
        </w:rPr>
        <w:t xml:space="preserve"> </w:t>
      </w:r>
      <w:r w:rsidRPr="00A768CC">
        <w:rPr>
          <w:sz w:val="20"/>
        </w:rPr>
        <w:t xml:space="preserve">– 70% of GDP. Consumer spending increased by </w:t>
      </w:r>
      <w:r w:rsidR="004F7719" w:rsidRPr="00A768CC">
        <w:rPr>
          <w:sz w:val="20"/>
        </w:rPr>
        <w:t>6.7</w:t>
      </w:r>
      <w:r w:rsidRPr="00A768CC">
        <w:rPr>
          <w:sz w:val="20"/>
        </w:rPr>
        <w:t>% in 2</w:t>
      </w:r>
      <w:bookmarkStart w:id="0" w:name="_GoBack"/>
      <w:bookmarkEnd w:id="0"/>
      <w:r w:rsidRPr="00A768CC">
        <w:rPr>
          <w:sz w:val="20"/>
        </w:rPr>
        <w:t>021</w:t>
      </w:r>
      <w:r w:rsidR="004F7719" w:rsidRPr="00A768CC">
        <w:rPr>
          <w:sz w:val="20"/>
        </w:rPr>
        <w:t xml:space="preserve"> (Real </w:t>
      </w:r>
      <w:r w:rsidR="000206AA" w:rsidRPr="00A768CC">
        <w:rPr>
          <w:sz w:val="20"/>
        </w:rPr>
        <w:t>Personal Consumption Expenditures</w:t>
      </w:r>
      <w:r w:rsidR="004F7719" w:rsidRPr="00A768CC">
        <w:rPr>
          <w:sz w:val="20"/>
        </w:rPr>
        <w:t>)</w:t>
      </w:r>
      <w:r w:rsidRPr="00A768CC">
        <w:rPr>
          <w:sz w:val="20"/>
        </w:rPr>
        <w:t xml:space="preserve">, and the economy is still benefitting from the massive stimulus provided by the government and the </w:t>
      </w:r>
      <w:r w:rsidR="004F7719" w:rsidRPr="00A768CC">
        <w:rPr>
          <w:sz w:val="20"/>
        </w:rPr>
        <w:t>Federal Reserve (</w:t>
      </w:r>
      <w:r w:rsidRPr="00A768CC">
        <w:rPr>
          <w:sz w:val="20"/>
        </w:rPr>
        <w:t>Fed</w:t>
      </w:r>
      <w:r w:rsidR="004F7719" w:rsidRPr="00A768CC">
        <w:rPr>
          <w:sz w:val="20"/>
        </w:rPr>
        <w:t>)</w:t>
      </w:r>
      <w:r w:rsidRPr="00A768CC">
        <w:rPr>
          <w:sz w:val="20"/>
        </w:rPr>
        <w:t xml:space="preserve"> during the pandemic. However, there is uncertainty surrounding the future </w:t>
      </w:r>
      <w:r w:rsidR="001D4C60" w:rsidRPr="00A768CC">
        <w:rPr>
          <w:sz w:val="20"/>
        </w:rPr>
        <w:t xml:space="preserve">of </w:t>
      </w:r>
      <w:r w:rsidRPr="00A768CC">
        <w:rPr>
          <w:sz w:val="20"/>
        </w:rPr>
        <w:t xml:space="preserve">our economy which arises from the fact that our strength has created an unacceptable level of inflation. </w:t>
      </w:r>
    </w:p>
    <w:p w:rsidR="0028767A" w:rsidRPr="00A768CC" w:rsidRDefault="0028767A" w:rsidP="00EE2B8E">
      <w:pPr>
        <w:pStyle w:val="PGNormalJustified"/>
        <w:rPr>
          <w:sz w:val="20"/>
        </w:rPr>
      </w:pPr>
    </w:p>
    <w:p w:rsidR="00072B01" w:rsidRPr="00A768CC" w:rsidRDefault="00072B01" w:rsidP="00EE2B8E">
      <w:pPr>
        <w:pStyle w:val="PGNormalJustified"/>
        <w:rPr>
          <w:sz w:val="20"/>
        </w:rPr>
      </w:pPr>
      <w:r w:rsidRPr="00A768CC">
        <w:rPr>
          <w:sz w:val="20"/>
        </w:rPr>
        <w:t>As measured by the Consumer Price Index, the annual rate of inflation was 7.9% over the last 12 months and taking out volatile components of food and energy, core inflation was still an unacceptable 6.4%, well above the Fed’</w:t>
      </w:r>
      <w:r w:rsidR="007F3EDA" w:rsidRPr="00A768CC">
        <w:rPr>
          <w:sz w:val="20"/>
        </w:rPr>
        <w:t>s</w:t>
      </w:r>
      <w:r w:rsidRPr="00A768CC">
        <w:rPr>
          <w:sz w:val="20"/>
        </w:rPr>
        <w:t xml:space="preserve"> target of 2.0%. The war with Ukraine and the sanctions placed on Russia will also put upward pressure on inflation as energy prices soar and supply chains become more disrupted. </w:t>
      </w:r>
      <w:r w:rsidR="007F3EDA" w:rsidRPr="00A768CC">
        <w:rPr>
          <w:sz w:val="20"/>
        </w:rPr>
        <w:t>In addition,</w:t>
      </w:r>
      <w:r w:rsidRPr="00A768CC">
        <w:rPr>
          <w:sz w:val="20"/>
        </w:rPr>
        <w:t xml:space="preserve"> the virus situation in China </w:t>
      </w:r>
      <w:r w:rsidR="007F3EDA" w:rsidRPr="00A768CC">
        <w:rPr>
          <w:sz w:val="20"/>
        </w:rPr>
        <w:t>is also impacting</w:t>
      </w:r>
      <w:r w:rsidRPr="00A768CC">
        <w:rPr>
          <w:sz w:val="20"/>
        </w:rPr>
        <w:t xml:space="preserve"> supply chains and add</w:t>
      </w:r>
      <w:r w:rsidR="007F3EDA" w:rsidRPr="00A768CC">
        <w:rPr>
          <w:sz w:val="20"/>
        </w:rPr>
        <w:t xml:space="preserve">ing </w:t>
      </w:r>
      <w:r w:rsidRPr="00A768CC">
        <w:rPr>
          <w:sz w:val="20"/>
        </w:rPr>
        <w:t>to inflationary pressures.</w:t>
      </w:r>
    </w:p>
    <w:p w:rsidR="00072B01" w:rsidRPr="00A768CC" w:rsidRDefault="00072B01" w:rsidP="00EE2B8E">
      <w:pPr>
        <w:pStyle w:val="PGNormalJustified"/>
        <w:rPr>
          <w:sz w:val="20"/>
        </w:rPr>
      </w:pPr>
    </w:p>
    <w:p w:rsidR="00E815CE" w:rsidRPr="00A768CC" w:rsidRDefault="00E815CE" w:rsidP="00EE2B8E">
      <w:pPr>
        <w:pStyle w:val="PGNormalJustified"/>
        <w:rPr>
          <w:sz w:val="20"/>
        </w:rPr>
      </w:pPr>
      <w:r w:rsidRPr="00A768CC">
        <w:rPr>
          <w:sz w:val="20"/>
        </w:rPr>
        <w:t>At their March meeting, the Fed recognized</w:t>
      </w:r>
      <w:r w:rsidR="00072B01" w:rsidRPr="00A768CC">
        <w:rPr>
          <w:sz w:val="20"/>
        </w:rPr>
        <w:t xml:space="preserve"> that they had put too much faith in transitory inflation due to supply chain problems rather than embedded inflation caused by a wage-price spiral</w:t>
      </w:r>
      <w:r w:rsidR="000206AA" w:rsidRPr="00A768CC">
        <w:rPr>
          <w:sz w:val="20"/>
        </w:rPr>
        <w:t>.  Thus,</w:t>
      </w:r>
      <w:r w:rsidRPr="00A768CC">
        <w:rPr>
          <w:sz w:val="20"/>
        </w:rPr>
        <w:t xml:space="preserve"> </w:t>
      </w:r>
      <w:r w:rsidR="00072B01" w:rsidRPr="00A768CC">
        <w:rPr>
          <w:sz w:val="20"/>
        </w:rPr>
        <w:t xml:space="preserve">they began what will be a series of interest rates increases aimed at slowing the growth rate of our economy and inflation. They increased the </w:t>
      </w:r>
      <w:r w:rsidRPr="00A768CC">
        <w:rPr>
          <w:sz w:val="20"/>
        </w:rPr>
        <w:t xml:space="preserve">range for the </w:t>
      </w:r>
      <w:r w:rsidR="00072B01" w:rsidRPr="00A768CC">
        <w:rPr>
          <w:sz w:val="20"/>
        </w:rPr>
        <w:t xml:space="preserve">overnight lending rate used by banks </w:t>
      </w:r>
      <w:r w:rsidRPr="00A768CC">
        <w:rPr>
          <w:sz w:val="20"/>
        </w:rPr>
        <w:t>–</w:t>
      </w:r>
      <w:r w:rsidR="00072B01" w:rsidRPr="00A768CC">
        <w:rPr>
          <w:sz w:val="20"/>
        </w:rPr>
        <w:t xml:space="preserve"> </w:t>
      </w:r>
      <w:r w:rsidRPr="00A768CC">
        <w:rPr>
          <w:sz w:val="20"/>
        </w:rPr>
        <w:t>F</w:t>
      </w:r>
      <w:r w:rsidR="00072B01" w:rsidRPr="00A768CC">
        <w:rPr>
          <w:sz w:val="20"/>
        </w:rPr>
        <w:t xml:space="preserve">ederal </w:t>
      </w:r>
      <w:r w:rsidRPr="00A768CC">
        <w:rPr>
          <w:sz w:val="20"/>
        </w:rPr>
        <w:t>F</w:t>
      </w:r>
      <w:r w:rsidR="00072B01" w:rsidRPr="00A768CC">
        <w:rPr>
          <w:sz w:val="20"/>
        </w:rPr>
        <w:t>unds</w:t>
      </w:r>
      <w:r w:rsidRPr="00A768CC">
        <w:rPr>
          <w:sz w:val="20"/>
        </w:rPr>
        <w:t xml:space="preserve"> Ra</w:t>
      </w:r>
      <w:r w:rsidR="00072B01" w:rsidRPr="00A768CC">
        <w:rPr>
          <w:sz w:val="20"/>
        </w:rPr>
        <w:t xml:space="preserve">te </w:t>
      </w:r>
      <w:r w:rsidRPr="00A768CC">
        <w:rPr>
          <w:sz w:val="20"/>
        </w:rPr>
        <w:t>– f</w:t>
      </w:r>
      <w:r w:rsidR="00072B01" w:rsidRPr="00A768CC">
        <w:rPr>
          <w:sz w:val="20"/>
        </w:rPr>
        <w:t xml:space="preserve">rom </w:t>
      </w:r>
      <w:r w:rsidRPr="00A768CC">
        <w:rPr>
          <w:sz w:val="20"/>
        </w:rPr>
        <w:t>0% to 0.25% to a range of 0.25% to 0.5%</w:t>
      </w:r>
      <w:r w:rsidR="00072B01" w:rsidRPr="00A768CC">
        <w:rPr>
          <w:sz w:val="20"/>
        </w:rPr>
        <w:t>. The</w:t>
      </w:r>
      <w:r w:rsidRPr="00A768CC">
        <w:rPr>
          <w:sz w:val="20"/>
        </w:rPr>
        <w:t xml:space="preserve"> market is pricing in an additional eight hikes in 2022</w:t>
      </w:r>
      <w:r w:rsidR="00072B01" w:rsidRPr="00A768CC">
        <w:rPr>
          <w:sz w:val="20"/>
        </w:rPr>
        <w:t>, taking</w:t>
      </w:r>
      <w:r w:rsidR="005C0C7D" w:rsidRPr="00A768CC">
        <w:rPr>
          <w:sz w:val="20"/>
        </w:rPr>
        <w:t xml:space="preserve"> </w:t>
      </w:r>
      <w:r w:rsidRPr="00A768CC">
        <w:rPr>
          <w:sz w:val="20"/>
        </w:rPr>
        <w:t xml:space="preserve">the Fed Funds Rate </w:t>
      </w:r>
      <w:r w:rsidR="00072B01" w:rsidRPr="00A768CC">
        <w:rPr>
          <w:sz w:val="20"/>
        </w:rPr>
        <w:t xml:space="preserve">to a peak of 3.25% in 2023 after which they anticipate </w:t>
      </w:r>
      <w:r w:rsidR="006C059D" w:rsidRPr="00A768CC">
        <w:rPr>
          <w:sz w:val="20"/>
        </w:rPr>
        <w:t>a reduction in</w:t>
      </w:r>
      <w:r w:rsidR="00072B01" w:rsidRPr="00A768CC">
        <w:rPr>
          <w:sz w:val="20"/>
        </w:rPr>
        <w:t xml:space="preserve"> rates to 2.5% in 2024. </w:t>
      </w:r>
      <w:r w:rsidRPr="00A768CC">
        <w:rPr>
          <w:sz w:val="20"/>
        </w:rPr>
        <w:t xml:space="preserve"> </w:t>
      </w:r>
    </w:p>
    <w:p w:rsidR="00E815CE" w:rsidRPr="00A768CC" w:rsidRDefault="00E815CE" w:rsidP="00EE2B8E">
      <w:pPr>
        <w:pStyle w:val="PGNormalJustified"/>
        <w:rPr>
          <w:sz w:val="20"/>
        </w:rPr>
      </w:pPr>
    </w:p>
    <w:p w:rsidR="0028767A" w:rsidRPr="00A768CC" w:rsidRDefault="00072B01" w:rsidP="00EE2B8E">
      <w:pPr>
        <w:pStyle w:val="PGNormalJustified"/>
        <w:rPr>
          <w:sz w:val="20"/>
        </w:rPr>
      </w:pPr>
      <w:r w:rsidRPr="00A768CC">
        <w:rPr>
          <w:sz w:val="20"/>
        </w:rPr>
        <w:t xml:space="preserve">In somewhat of a change in Fed policy, Chairman Powell has singled out </w:t>
      </w:r>
      <w:r w:rsidR="00E815CE" w:rsidRPr="00A768CC">
        <w:rPr>
          <w:sz w:val="20"/>
        </w:rPr>
        <w:t>“</w:t>
      </w:r>
      <w:r w:rsidRPr="00A768CC">
        <w:rPr>
          <w:sz w:val="20"/>
        </w:rPr>
        <w:t>job openings and quits</w:t>
      </w:r>
      <w:r w:rsidR="00E815CE" w:rsidRPr="00A768CC">
        <w:rPr>
          <w:sz w:val="20"/>
        </w:rPr>
        <w:t>”</w:t>
      </w:r>
      <w:r w:rsidRPr="00A768CC">
        <w:rPr>
          <w:sz w:val="20"/>
        </w:rPr>
        <w:t xml:space="preserve"> as a key measure of the strength of the labor market and a target of Fed interest rate policy. Chairman Powell has said that the central bank hopes to reduce the number of available jobs as a way of cooling wage increases and wage pressure inflation. </w:t>
      </w:r>
      <w:r w:rsidR="00E815CE" w:rsidRPr="00A768CC">
        <w:rPr>
          <w:sz w:val="20"/>
        </w:rPr>
        <w:t>They have their work cut out for them</w:t>
      </w:r>
      <w:r w:rsidRPr="00A768CC">
        <w:rPr>
          <w:sz w:val="20"/>
        </w:rPr>
        <w:t xml:space="preserve">. The recent JOLTs </w:t>
      </w:r>
      <w:r w:rsidR="00E815CE" w:rsidRPr="00A768CC">
        <w:rPr>
          <w:sz w:val="20"/>
        </w:rPr>
        <w:t>–</w:t>
      </w:r>
      <w:r w:rsidRPr="00A768CC">
        <w:rPr>
          <w:sz w:val="20"/>
        </w:rPr>
        <w:t xml:space="preserve"> Job Openings and Labor Turnover </w:t>
      </w:r>
      <w:r w:rsidR="00E815CE" w:rsidRPr="00A768CC">
        <w:rPr>
          <w:sz w:val="20"/>
        </w:rPr>
        <w:t>–</w:t>
      </w:r>
      <w:r w:rsidRPr="00A768CC">
        <w:rPr>
          <w:sz w:val="20"/>
        </w:rPr>
        <w:t xml:space="preserve"> report on the labor market was the strongest on record. </w:t>
      </w:r>
    </w:p>
    <w:p w:rsidR="0028767A" w:rsidRPr="00A768CC" w:rsidRDefault="0028767A" w:rsidP="00EE2B8E">
      <w:pPr>
        <w:pStyle w:val="PGNormalJustified"/>
        <w:rPr>
          <w:sz w:val="20"/>
        </w:rPr>
      </w:pPr>
    </w:p>
    <w:p w:rsidR="00072B01" w:rsidRPr="00A768CC" w:rsidRDefault="00072B01" w:rsidP="00EE2B8E">
      <w:pPr>
        <w:pStyle w:val="PGNormalJustified"/>
        <w:rPr>
          <w:sz w:val="20"/>
        </w:rPr>
      </w:pPr>
      <w:r w:rsidRPr="00A768CC">
        <w:rPr>
          <w:sz w:val="20"/>
        </w:rPr>
        <w:t xml:space="preserve">There are nearly 5 million more job openings than there are unemployed Americans.  Job resignations are also around 4.4 million, a sign of a strong market as laborers quit, seeking a new job or higher wages. Small businesses are particularly hungry for talent accounting for 47% of the job openings. The labor market </w:t>
      </w:r>
      <w:r w:rsidR="00E815CE" w:rsidRPr="00A768CC">
        <w:rPr>
          <w:sz w:val="20"/>
        </w:rPr>
        <w:t>remains strong as e</w:t>
      </w:r>
      <w:r w:rsidRPr="00A768CC">
        <w:rPr>
          <w:sz w:val="20"/>
        </w:rPr>
        <w:t>mployers added 431,000 jobs in March and the unemployment rate fell to 3.6%, near the pre-pandemic rate of 3.5%. Jobless claims for unemployment insurance are also falling. During the week of March 19</w:t>
      </w:r>
      <w:r w:rsidRPr="00A768CC">
        <w:rPr>
          <w:sz w:val="20"/>
          <w:vertAlign w:val="superscript"/>
        </w:rPr>
        <w:t>th</w:t>
      </w:r>
      <w:r w:rsidRPr="00A768CC">
        <w:rPr>
          <w:sz w:val="20"/>
        </w:rPr>
        <w:t xml:space="preserve">, unemployment claims fell by 28,000 to 187,000, the lowest since September 1969. </w:t>
      </w:r>
    </w:p>
    <w:p w:rsidR="00072B01" w:rsidRPr="00A768CC" w:rsidRDefault="00072B01" w:rsidP="00EE2B8E">
      <w:pPr>
        <w:pStyle w:val="PGNormalJustified"/>
        <w:rPr>
          <w:sz w:val="20"/>
        </w:rPr>
      </w:pPr>
    </w:p>
    <w:p w:rsidR="00072B01" w:rsidRPr="00A768CC" w:rsidRDefault="00072B01" w:rsidP="00EE2B8E">
      <w:pPr>
        <w:pStyle w:val="PGNormalJustified"/>
        <w:rPr>
          <w:sz w:val="20"/>
        </w:rPr>
      </w:pPr>
      <w:r w:rsidRPr="00A768CC">
        <w:rPr>
          <w:sz w:val="20"/>
        </w:rPr>
        <w:t xml:space="preserve">Following the recent </w:t>
      </w:r>
      <w:r w:rsidR="00E815CE" w:rsidRPr="00A768CC">
        <w:rPr>
          <w:sz w:val="20"/>
        </w:rPr>
        <w:t xml:space="preserve">Fed </w:t>
      </w:r>
      <w:r w:rsidRPr="00A768CC">
        <w:rPr>
          <w:sz w:val="20"/>
        </w:rPr>
        <w:t>meeting, Chairman Powell said, “we have expectations that inflation will peak and begin to come down this year.</w:t>
      </w:r>
      <w:r w:rsidR="006C059D" w:rsidRPr="00A768CC">
        <w:rPr>
          <w:sz w:val="20"/>
        </w:rPr>
        <w:t>”</w:t>
      </w:r>
      <w:r w:rsidRPr="00A768CC">
        <w:rPr>
          <w:sz w:val="20"/>
        </w:rPr>
        <w:t xml:space="preserve"> The Fed is hoping</w:t>
      </w:r>
      <w:r w:rsidR="006C059D" w:rsidRPr="00A768CC">
        <w:rPr>
          <w:sz w:val="20"/>
        </w:rPr>
        <w:t xml:space="preserve"> that by</w:t>
      </w:r>
      <w:r w:rsidRPr="00A768CC">
        <w:rPr>
          <w:sz w:val="20"/>
        </w:rPr>
        <w:t xml:space="preserve"> gradual</w:t>
      </w:r>
      <w:r w:rsidR="006C059D" w:rsidRPr="00A768CC">
        <w:rPr>
          <w:sz w:val="20"/>
        </w:rPr>
        <w:t>ly</w:t>
      </w:r>
      <w:r w:rsidRPr="00A768CC">
        <w:rPr>
          <w:sz w:val="20"/>
        </w:rPr>
        <w:t xml:space="preserve"> increas</w:t>
      </w:r>
      <w:r w:rsidR="006C059D" w:rsidRPr="00A768CC">
        <w:rPr>
          <w:sz w:val="20"/>
        </w:rPr>
        <w:t>ing</w:t>
      </w:r>
      <w:r w:rsidRPr="00A768CC">
        <w:rPr>
          <w:sz w:val="20"/>
        </w:rPr>
        <w:t xml:space="preserve"> interest rates and using other targets, they may create a soft-landing in the economy rather than a recession. Historically it has taken a recession to break an inflation spiral. They hope to avoid this outcome and Chairman Powell was quick to point out that “a soft landing has been common in US monetary history, e.g., 1965, 1984, 1921 and 1998.”</w:t>
      </w:r>
    </w:p>
    <w:p w:rsidR="00072B01" w:rsidRPr="00A768CC" w:rsidRDefault="00072B01" w:rsidP="00EE2B8E">
      <w:pPr>
        <w:pStyle w:val="PGNormalJustified"/>
        <w:rPr>
          <w:sz w:val="20"/>
        </w:rPr>
      </w:pPr>
    </w:p>
    <w:p w:rsidR="00072B01" w:rsidRPr="00A768CC" w:rsidRDefault="006540A3" w:rsidP="00EE2B8E">
      <w:pPr>
        <w:pStyle w:val="PGNormalJustified"/>
        <w:rPr>
          <w:sz w:val="20"/>
        </w:rPr>
      </w:pPr>
      <w:r w:rsidRPr="00A768CC">
        <w:rPr>
          <w:sz w:val="20"/>
        </w:rPr>
        <w:t>To summarize</w:t>
      </w:r>
      <w:r w:rsidR="00072B01" w:rsidRPr="00A768CC">
        <w:rPr>
          <w:sz w:val="20"/>
        </w:rPr>
        <w:t xml:space="preserve">, the US economy remained </w:t>
      </w:r>
      <w:r w:rsidR="006C059D" w:rsidRPr="00A768CC">
        <w:rPr>
          <w:sz w:val="20"/>
        </w:rPr>
        <w:t>resilient</w:t>
      </w:r>
      <w:r w:rsidR="00072B01" w:rsidRPr="00A768CC">
        <w:rPr>
          <w:sz w:val="20"/>
        </w:rPr>
        <w:t xml:space="preserve"> during the first quarter and is likely to remain so into the near future, especially if we get a </w:t>
      </w:r>
      <w:r w:rsidRPr="00A768CC">
        <w:rPr>
          <w:sz w:val="20"/>
        </w:rPr>
        <w:t>re</w:t>
      </w:r>
      <w:r w:rsidR="00072B01" w:rsidRPr="00A768CC">
        <w:rPr>
          <w:sz w:val="20"/>
        </w:rPr>
        <w:t xml:space="preserve">solution to the Ukrainian war. Most economist gauge the probability of a recession at less than 25%. There is a lot of Fed and governmental stimulus still affecting the economy. Consumers are flush with cash with savings of around $2 trillion and consumer net worth – which leads consumer spending by half year </w:t>
      </w:r>
      <w:r w:rsidR="00E815CE" w:rsidRPr="00A768CC">
        <w:rPr>
          <w:sz w:val="20"/>
        </w:rPr>
        <w:t>–</w:t>
      </w:r>
      <w:r w:rsidR="00072B01" w:rsidRPr="00A768CC">
        <w:rPr>
          <w:sz w:val="20"/>
        </w:rPr>
        <w:t xml:space="preserve"> grew by over 8% over the last 12 months. </w:t>
      </w:r>
    </w:p>
    <w:p w:rsidR="00072B01" w:rsidRPr="00A768CC" w:rsidRDefault="00072B01" w:rsidP="00EE2B8E">
      <w:pPr>
        <w:pStyle w:val="PGNormalJustified"/>
        <w:rPr>
          <w:sz w:val="20"/>
        </w:rPr>
      </w:pPr>
    </w:p>
    <w:p w:rsidR="00072B01" w:rsidRPr="00A768CC" w:rsidRDefault="00072B01" w:rsidP="00EE2B8E">
      <w:pPr>
        <w:pStyle w:val="PGNormalJustified"/>
        <w:rPr>
          <w:sz w:val="20"/>
        </w:rPr>
      </w:pPr>
      <w:r w:rsidRPr="00A768CC">
        <w:rPr>
          <w:sz w:val="20"/>
        </w:rPr>
        <w:t xml:space="preserve">These are “unprecedented times” </w:t>
      </w:r>
      <w:r w:rsidR="006540A3" w:rsidRPr="00A768CC">
        <w:rPr>
          <w:sz w:val="20"/>
        </w:rPr>
        <w:t>–</w:t>
      </w:r>
      <w:r w:rsidRPr="00A768CC">
        <w:rPr>
          <w:sz w:val="20"/>
        </w:rPr>
        <w:t xml:space="preserve"> war, inflation, active Fed, etc. – </w:t>
      </w:r>
      <w:r w:rsidR="006540A3" w:rsidRPr="00A768CC">
        <w:rPr>
          <w:sz w:val="20"/>
        </w:rPr>
        <w:t xml:space="preserve">all of </w:t>
      </w:r>
      <w:r w:rsidRPr="00A768CC">
        <w:rPr>
          <w:sz w:val="20"/>
        </w:rPr>
        <w:t xml:space="preserve">which are creating more uncertainty than usual. We </w:t>
      </w:r>
      <w:r w:rsidR="006540A3" w:rsidRPr="00A768CC">
        <w:rPr>
          <w:sz w:val="20"/>
        </w:rPr>
        <w:t xml:space="preserve">are watching the economic data and market signals carefully to see if </w:t>
      </w:r>
      <w:r w:rsidRPr="00A768CC">
        <w:rPr>
          <w:sz w:val="20"/>
        </w:rPr>
        <w:t xml:space="preserve">the Fed can </w:t>
      </w:r>
      <w:r w:rsidR="006540A3" w:rsidRPr="00A768CC">
        <w:rPr>
          <w:sz w:val="20"/>
        </w:rPr>
        <w:t>navigate</w:t>
      </w:r>
      <w:r w:rsidRPr="00A768CC">
        <w:rPr>
          <w:sz w:val="20"/>
        </w:rPr>
        <w:t xml:space="preserve"> a </w:t>
      </w:r>
      <w:r w:rsidRPr="00A768CC">
        <w:rPr>
          <w:sz w:val="20"/>
        </w:rPr>
        <w:lastRenderedPageBreak/>
        <w:t>soft landing with declining inflation and a normalization in supply chain disruptions; thereby, decreasing the probability of a recession and allowing the economy to grow on into the future.</w:t>
      </w:r>
    </w:p>
    <w:p w:rsidR="00072B01" w:rsidRPr="00A768CC" w:rsidRDefault="00072B01" w:rsidP="00072B01">
      <w:pPr>
        <w:rPr>
          <w:sz w:val="20"/>
        </w:rPr>
      </w:pPr>
    </w:p>
    <w:p w:rsidR="00531ABE" w:rsidRPr="00A768CC" w:rsidRDefault="00BF4D34" w:rsidP="00673735">
      <w:pPr>
        <w:pStyle w:val="PGSubTitle"/>
        <w:rPr>
          <w:sz w:val="24"/>
        </w:rPr>
      </w:pPr>
      <w:r w:rsidRPr="00A768CC">
        <w:rPr>
          <w:sz w:val="24"/>
        </w:rPr>
        <w:t>The Stock Market</w:t>
      </w:r>
    </w:p>
    <w:p w:rsidR="00531ABE" w:rsidRPr="00A768CC" w:rsidRDefault="00BF4D34" w:rsidP="00EE64FA">
      <w:pPr>
        <w:pStyle w:val="PGSubTitle"/>
        <w:rPr>
          <w:rFonts w:asciiTheme="minorHAnsi" w:hAnsiTheme="minorHAnsi" w:cstheme="minorHAnsi"/>
          <w:sz w:val="20"/>
          <w:szCs w:val="22"/>
          <w:u w:val="none"/>
        </w:rPr>
      </w:pPr>
      <w:r w:rsidRPr="00A768CC">
        <w:rPr>
          <w:rFonts w:asciiTheme="minorHAnsi" w:hAnsiTheme="minorHAnsi" w:cstheme="minorHAnsi"/>
          <w:sz w:val="20"/>
          <w:szCs w:val="22"/>
          <w:u w:val="none"/>
        </w:rPr>
        <w:t>By Walter Todd</w:t>
      </w:r>
    </w:p>
    <w:p w:rsidR="00941C4B" w:rsidRPr="00A768CC" w:rsidRDefault="00072B01" w:rsidP="00EE2B8E">
      <w:pPr>
        <w:pStyle w:val="PGNormalJustified"/>
        <w:rPr>
          <w:rStyle w:val="sd-highlight-inactive"/>
          <w:rFonts w:asciiTheme="minorHAnsi" w:hAnsiTheme="minorHAnsi" w:cstheme="minorHAnsi"/>
          <w:sz w:val="20"/>
        </w:rPr>
      </w:pPr>
      <w:r w:rsidRPr="00A768CC">
        <w:rPr>
          <w:rStyle w:val="sd-highlight-inactive"/>
          <w:rFonts w:asciiTheme="minorHAnsi" w:hAnsiTheme="minorHAnsi" w:cstheme="minorHAnsi"/>
          <w:sz w:val="20"/>
        </w:rPr>
        <w:t xml:space="preserve">Well we said that equity markets in 2022 would likely be more volatile vs. a relatively quiet 2021 (just the fourth year in the past 40 to have a 5% or less pullback), but man, I didn’t think it would all happen in the first three months.  </w:t>
      </w:r>
      <w:r w:rsidR="00B50CB1" w:rsidRPr="00A768CC">
        <w:rPr>
          <w:rStyle w:val="sd-highlight-inactive"/>
          <w:rFonts w:asciiTheme="minorHAnsi" w:hAnsiTheme="minorHAnsi" w:cstheme="minorHAnsi"/>
          <w:sz w:val="20"/>
        </w:rPr>
        <w:t xml:space="preserve">That was an interesting quarter to say the least.  We started out on a high note, hitting a new all-time </w:t>
      </w:r>
      <w:r w:rsidR="000206AA" w:rsidRPr="00A768CC">
        <w:rPr>
          <w:rStyle w:val="sd-highlight-inactive"/>
          <w:rFonts w:asciiTheme="minorHAnsi" w:hAnsiTheme="minorHAnsi" w:cstheme="minorHAnsi"/>
          <w:sz w:val="20"/>
        </w:rPr>
        <w:t>record</w:t>
      </w:r>
      <w:r w:rsidR="00B50CB1" w:rsidRPr="00A768CC">
        <w:rPr>
          <w:rStyle w:val="sd-highlight-inactive"/>
          <w:rFonts w:asciiTheme="minorHAnsi" w:hAnsiTheme="minorHAnsi" w:cstheme="minorHAnsi"/>
          <w:sz w:val="20"/>
        </w:rPr>
        <w:t xml:space="preserve"> in the S&amp;P 500 the second trading day of the year, but less than three weeks later we were down over 12% from those</w:t>
      </w:r>
      <w:r w:rsidR="004B0085" w:rsidRPr="00A768CC">
        <w:rPr>
          <w:rStyle w:val="sd-highlight-inactive"/>
          <w:rFonts w:asciiTheme="minorHAnsi" w:hAnsiTheme="minorHAnsi" w:cstheme="minorHAnsi"/>
          <w:sz w:val="20"/>
        </w:rPr>
        <w:t xml:space="preserve"> levels</w:t>
      </w:r>
      <w:r w:rsidR="00B50CB1" w:rsidRPr="00A768CC">
        <w:rPr>
          <w:rStyle w:val="sd-highlight-inactive"/>
          <w:rFonts w:asciiTheme="minorHAnsi" w:hAnsiTheme="minorHAnsi" w:cstheme="minorHAnsi"/>
          <w:sz w:val="20"/>
        </w:rPr>
        <w:t xml:space="preserve"> (and that was before the war in Ukraine </w:t>
      </w:r>
      <w:r w:rsidR="000206AA" w:rsidRPr="00A768CC">
        <w:rPr>
          <w:rStyle w:val="sd-highlight-inactive"/>
          <w:rFonts w:asciiTheme="minorHAnsi" w:hAnsiTheme="minorHAnsi" w:cstheme="minorHAnsi"/>
          <w:sz w:val="20"/>
        </w:rPr>
        <w:t>started</w:t>
      </w:r>
      <w:r w:rsidR="00B50CB1" w:rsidRPr="00A768CC">
        <w:rPr>
          <w:rStyle w:val="sd-highlight-inactive"/>
          <w:rFonts w:asciiTheme="minorHAnsi" w:hAnsiTheme="minorHAnsi" w:cstheme="minorHAnsi"/>
          <w:sz w:val="20"/>
        </w:rPr>
        <w:t xml:space="preserve">).  Then the yo-yo started </w:t>
      </w:r>
      <w:r w:rsidR="004B0085" w:rsidRPr="00A768CC">
        <w:rPr>
          <w:rStyle w:val="sd-highlight-inactive"/>
          <w:rFonts w:asciiTheme="minorHAnsi" w:hAnsiTheme="minorHAnsi" w:cstheme="minorHAnsi"/>
          <w:sz w:val="20"/>
        </w:rPr>
        <w:t>–</w:t>
      </w:r>
      <w:r w:rsidR="00B50CB1" w:rsidRPr="00A768CC">
        <w:rPr>
          <w:rStyle w:val="sd-highlight-inactive"/>
          <w:rFonts w:asciiTheme="minorHAnsi" w:hAnsiTheme="minorHAnsi" w:cstheme="minorHAnsi"/>
          <w:sz w:val="20"/>
        </w:rPr>
        <w:t xml:space="preserve"> up 9%, down 10%, up 7%, down 5% up 11%.  Back and forth with headlines from the Federal Reserve, the war in Ukraine and eye-popping commodity moves driving the market day to day.  While certainly a harrowing ride, </w:t>
      </w:r>
      <w:r w:rsidR="00EA571B" w:rsidRPr="00A768CC">
        <w:rPr>
          <w:rStyle w:val="sd-highlight-inactive"/>
          <w:rFonts w:asciiTheme="minorHAnsi" w:hAnsiTheme="minorHAnsi" w:cstheme="minorHAnsi"/>
          <w:sz w:val="20"/>
        </w:rPr>
        <w:t>we did see some corners of the market hold up</w:t>
      </w:r>
      <w:r w:rsidR="008B477C" w:rsidRPr="00A768CC">
        <w:rPr>
          <w:rStyle w:val="sd-highlight-inactive"/>
          <w:rFonts w:asciiTheme="minorHAnsi" w:hAnsiTheme="minorHAnsi" w:cstheme="minorHAnsi"/>
          <w:sz w:val="20"/>
        </w:rPr>
        <w:t xml:space="preserve"> and the </w:t>
      </w:r>
      <w:r w:rsidR="004B0085" w:rsidRPr="00A768CC">
        <w:rPr>
          <w:rStyle w:val="sd-highlight-inactive"/>
          <w:rFonts w:asciiTheme="minorHAnsi" w:hAnsiTheme="minorHAnsi" w:cstheme="minorHAnsi"/>
          <w:sz w:val="20"/>
        </w:rPr>
        <w:t>S&amp;P 500</w:t>
      </w:r>
      <w:r w:rsidR="008B477C" w:rsidRPr="00A768CC">
        <w:rPr>
          <w:rStyle w:val="sd-highlight-inactive"/>
          <w:rFonts w:asciiTheme="minorHAnsi" w:hAnsiTheme="minorHAnsi" w:cstheme="minorHAnsi"/>
          <w:sz w:val="20"/>
        </w:rPr>
        <w:t xml:space="preserve"> did finish higher for the month of March</w:t>
      </w:r>
      <w:r w:rsidR="00EA571B" w:rsidRPr="00A768CC">
        <w:rPr>
          <w:rStyle w:val="sd-highlight-inactive"/>
          <w:rFonts w:asciiTheme="minorHAnsi" w:hAnsiTheme="minorHAnsi" w:cstheme="minorHAnsi"/>
          <w:sz w:val="20"/>
        </w:rPr>
        <w:t xml:space="preserve">.  Let’s take a look inside the numbers for the first quarter of 2022.  </w:t>
      </w:r>
      <w:r w:rsidR="005B55BD" w:rsidRPr="00A768CC">
        <w:rPr>
          <w:rStyle w:val="sd-highlight-inactive"/>
          <w:rFonts w:asciiTheme="minorHAnsi" w:hAnsiTheme="minorHAnsi" w:cstheme="minorHAnsi"/>
          <w:sz w:val="20"/>
        </w:rPr>
        <w:t xml:space="preserve"> </w:t>
      </w:r>
    </w:p>
    <w:p w:rsidR="00DF0A8E" w:rsidRPr="00A768CC" w:rsidRDefault="00DF0A8E" w:rsidP="00EE2B8E">
      <w:pPr>
        <w:pStyle w:val="PGNormalJustified"/>
        <w:rPr>
          <w:rStyle w:val="sd-highlight-inactive"/>
          <w:rFonts w:asciiTheme="minorHAnsi" w:hAnsiTheme="minorHAnsi" w:cstheme="minorHAnsi"/>
          <w:sz w:val="20"/>
        </w:rPr>
      </w:pPr>
    </w:p>
    <w:p w:rsidR="0028767A" w:rsidRPr="00A768CC" w:rsidRDefault="00EC68B1" w:rsidP="00EE2B8E">
      <w:pPr>
        <w:pStyle w:val="PGNormalJustified"/>
        <w:rPr>
          <w:sz w:val="20"/>
        </w:rPr>
      </w:pPr>
      <w:r w:rsidRPr="00A768CC">
        <w:rPr>
          <w:sz w:val="20"/>
        </w:rPr>
        <w:t>F</w:t>
      </w:r>
      <w:r w:rsidR="00FD0A85" w:rsidRPr="00A768CC">
        <w:rPr>
          <w:sz w:val="20"/>
        </w:rPr>
        <w:t>or the quarter</w:t>
      </w:r>
      <w:r w:rsidR="00D30F03" w:rsidRPr="00A768CC">
        <w:rPr>
          <w:sz w:val="20"/>
        </w:rPr>
        <w:t>,</w:t>
      </w:r>
      <w:r w:rsidR="00BC3070" w:rsidRPr="00A768CC">
        <w:rPr>
          <w:sz w:val="20"/>
        </w:rPr>
        <w:t xml:space="preserve"> </w:t>
      </w:r>
      <w:r w:rsidR="007D590B" w:rsidRPr="00A768CC">
        <w:rPr>
          <w:sz w:val="20"/>
        </w:rPr>
        <w:t xml:space="preserve">the </w:t>
      </w:r>
      <w:r w:rsidR="00F770FA" w:rsidRPr="00A768CC">
        <w:rPr>
          <w:sz w:val="20"/>
        </w:rPr>
        <w:t>S&amp;P 500</w:t>
      </w:r>
      <w:r w:rsidR="007D590B" w:rsidRPr="00A768CC">
        <w:rPr>
          <w:sz w:val="20"/>
        </w:rPr>
        <w:t xml:space="preserve"> Index</w:t>
      </w:r>
      <w:r w:rsidR="00BC3070" w:rsidRPr="00A768CC">
        <w:rPr>
          <w:sz w:val="20"/>
        </w:rPr>
        <w:t xml:space="preserve"> closed </w:t>
      </w:r>
      <w:r w:rsidR="00EA571B" w:rsidRPr="00A768CC">
        <w:rPr>
          <w:sz w:val="20"/>
        </w:rPr>
        <w:t>down 4.6</w:t>
      </w:r>
      <w:r w:rsidR="005F624F" w:rsidRPr="00A768CC">
        <w:rPr>
          <w:sz w:val="20"/>
        </w:rPr>
        <w:t>%, including dividends.</w:t>
      </w:r>
      <w:r w:rsidR="00EA571B" w:rsidRPr="00A768CC">
        <w:rPr>
          <w:sz w:val="20"/>
        </w:rPr>
        <w:t xml:space="preserve">  The first negative quarter and the worst quarterly performance since Covid broke out </w:t>
      </w:r>
      <w:r w:rsidR="000206AA" w:rsidRPr="00A768CC">
        <w:rPr>
          <w:sz w:val="20"/>
        </w:rPr>
        <w:t>during</w:t>
      </w:r>
      <w:r w:rsidR="00EA571B" w:rsidRPr="00A768CC">
        <w:rPr>
          <w:sz w:val="20"/>
        </w:rPr>
        <w:t xml:space="preserve"> the first quarter of 2020.  </w:t>
      </w:r>
      <w:r w:rsidRPr="00A768CC">
        <w:rPr>
          <w:sz w:val="20"/>
        </w:rPr>
        <w:t>S</w:t>
      </w:r>
      <w:r w:rsidR="00757A2F" w:rsidRPr="00A768CC">
        <w:rPr>
          <w:sz w:val="20"/>
        </w:rPr>
        <w:t xml:space="preserve">mall-cap </w:t>
      </w:r>
      <w:r w:rsidR="006B520F" w:rsidRPr="00A768CC">
        <w:rPr>
          <w:sz w:val="20"/>
        </w:rPr>
        <w:t>stocks</w:t>
      </w:r>
      <w:r w:rsidR="005F624F" w:rsidRPr="00A768CC">
        <w:rPr>
          <w:sz w:val="20"/>
        </w:rPr>
        <w:t xml:space="preserve"> (as measured by the S&amp;P 600)</w:t>
      </w:r>
      <w:r w:rsidR="006B520F" w:rsidRPr="00A768CC">
        <w:rPr>
          <w:sz w:val="20"/>
        </w:rPr>
        <w:t xml:space="preserve"> </w:t>
      </w:r>
      <w:r w:rsidR="00EA571B" w:rsidRPr="00A768CC">
        <w:rPr>
          <w:sz w:val="20"/>
        </w:rPr>
        <w:t xml:space="preserve">performed slightly worse, </w:t>
      </w:r>
      <w:r w:rsidRPr="00A768CC">
        <w:rPr>
          <w:sz w:val="20"/>
        </w:rPr>
        <w:t>end</w:t>
      </w:r>
      <w:r w:rsidR="00EA571B" w:rsidRPr="00A768CC">
        <w:rPr>
          <w:sz w:val="20"/>
        </w:rPr>
        <w:t>ing</w:t>
      </w:r>
      <w:r w:rsidRPr="00A768CC">
        <w:rPr>
          <w:sz w:val="20"/>
        </w:rPr>
        <w:t xml:space="preserve"> the quarter </w:t>
      </w:r>
      <w:r w:rsidR="00EA571B" w:rsidRPr="00A768CC">
        <w:rPr>
          <w:sz w:val="20"/>
        </w:rPr>
        <w:t>lower</w:t>
      </w:r>
      <w:r w:rsidRPr="00A768CC">
        <w:rPr>
          <w:sz w:val="20"/>
        </w:rPr>
        <w:t xml:space="preserve"> by 5.6</w:t>
      </w:r>
      <w:r w:rsidR="006B520F" w:rsidRPr="00A768CC">
        <w:rPr>
          <w:sz w:val="20"/>
        </w:rPr>
        <w:t>%</w:t>
      </w:r>
      <w:r w:rsidR="00EA571B" w:rsidRPr="00A768CC">
        <w:rPr>
          <w:sz w:val="20"/>
        </w:rPr>
        <w:t xml:space="preserve">.  </w:t>
      </w:r>
    </w:p>
    <w:p w:rsidR="0028767A" w:rsidRPr="00A768CC" w:rsidRDefault="0028767A" w:rsidP="00EE2B8E">
      <w:pPr>
        <w:pStyle w:val="PGNormalJustified"/>
        <w:rPr>
          <w:sz w:val="20"/>
        </w:rPr>
      </w:pPr>
    </w:p>
    <w:p w:rsidR="002E42A2" w:rsidRPr="00A768CC" w:rsidRDefault="00EA571B" w:rsidP="00EE2B8E">
      <w:pPr>
        <w:pStyle w:val="PGNormalJustified"/>
        <w:rPr>
          <w:sz w:val="20"/>
        </w:rPr>
      </w:pPr>
      <w:r w:rsidRPr="00A768CC">
        <w:rPr>
          <w:sz w:val="20"/>
        </w:rPr>
        <w:t xml:space="preserve">This was again </w:t>
      </w:r>
      <w:r w:rsidR="005E2C93" w:rsidRPr="00A768CC">
        <w:rPr>
          <w:sz w:val="20"/>
        </w:rPr>
        <w:t>different from another small cap index, the Russell 2000</w:t>
      </w:r>
      <w:r w:rsidR="00F637D9" w:rsidRPr="00A768CC">
        <w:rPr>
          <w:sz w:val="20"/>
        </w:rPr>
        <w:t>,</w:t>
      </w:r>
      <w:r w:rsidR="005E2C93" w:rsidRPr="00A768CC">
        <w:rPr>
          <w:sz w:val="20"/>
        </w:rPr>
        <w:t xml:space="preserve"> which was </w:t>
      </w:r>
      <w:r w:rsidRPr="00A768CC">
        <w:rPr>
          <w:sz w:val="20"/>
        </w:rPr>
        <w:t>off by 7.5%</w:t>
      </w:r>
      <w:r w:rsidR="005E2C93" w:rsidRPr="00A768CC">
        <w:rPr>
          <w:sz w:val="20"/>
        </w:rPr>
        <w:t xml:space="preserve"> </w:t>
      </w:r>
      <w:r w:rsidRPr="00A768CC">
        <w:rPr>
          <w:sz w:val="20"/>
        </w:rPr>
        <w:t>for the same period</w:t>
      </w:r>
      <w:r w:rsidR="005E2C93" w:rsidRPr="00A768CC">
        <w:rPr>
          <w:sz w:val="20"/>
        </w:rPr>
        <w:t xml:space="preserve">.  </w:t>
      </w:r>
      <w:r w:rsidR="00F40DC1" w:rsidRPr="00A768CC">
        <w:rPr>
          <w:sz w:val="20"/>
        </w:rPr>
        <w:t>I</w:t>
      </w:r>
      <w:r w:rsidR="008C582E" w:rsidRPr="00A768CC">
        <w:rPr>
          <w:sz w:val="20"/>
        </w:rPr>
        <w:t>nternational stocks</w:t>
      </w:r>
      <w:r w:rsidRPr="00A768CC">
        <w:rPr>
          <w:sz w:val="20"/>
        </w:rPr>
        <w:t>, which started the quarter of</w:t>
      </w:r>
      <w:r w:rsidR="005D6957" w:rsidRPr="00A768CC">
        <w:rPr>
          <w:sz w:val="20"/>
        </w:rPr>
        <w:t>f</w:t>
      </w:r>
      <w:r w:rsidRPr="00A768CC">
        <w:rPr>
          <w:sz w:val="20"/>
        </w:rPr>
        <w:t xml:space="preserve"> strong, faded with the outbreak of war in Europe</w:t>
      </w:r>
      <w:r w:rsidR="008C582E" w:rsidRPr="00A768CC">
        <w:rPr>
          <w:sz w:val="20"/>
        </w:rPr>
        <w:t xml:space="preserve"> </w:t>
      </w:r>
      <w:r w:rsidR="005F624F" w:rsidRPr="00A768CC">
        <w:rPr>
          <w:sz w:val="20"/>
        </w:rPr>
        <w:t>with D</w:t>
      </w:r>
      <w:r w:rsidR="009C211D" w:rsidRPr="00A768CC">
        <w:rPr>
          <w:sz w:val="20"/>
        </w:rPr>
        <w:t xml:space="preserve">eveloped </w:t>
      </w:r>
      <w:r w:rsidR="00E011C2" w:rsidRPr="00A768CC">
        <w:rPr>
          <w:sz w:val="20"/>
        </w:rPr>
        <w:t xml:space="preserve">International </w:t>
      </w:r>
      <w:r w:rsidR="002D5D71" w:rsidRPr="00A768CC">
        <w:rPr>
          <w:sz w:val="20"/>
        </w:rPr>
        <w:t>M</w:t>
      </w:r>
      <w:r w:rsidR="009C211D" w:rsidRPr="00A768CC">
        <w:rPr>
          <w:sz w:val="20"/>
        </w:rPr>
        <w:t xml:space="preserve">arkets </w:t>
      </w:r>
      <w:r w:rsidRPr="00A768CC">
        <w:rPr>
          <w:sz w:val="20"/>
        </w:rPr>
        <w:t>falling by 5.8</w:t>
      </w:r>
      <w:r w:rsidR="00CB2C1F" w:rsidRPr="00A768CC">
        <w:rPr>
          <w:sz w:val="20"/>
        </w:rPr>
        <w:t>%</w:t>
      </w:r>
      <w:r w:rsidR="00BF4D34" w:rsidRPr="00A768CC">
        <w:rPr>
          <w:sz w:val="20"/>
        </w:rPr>
        <w:t xml:space="preserve"> </w:t>
      </w:r>
      <w:r w:rsidR="0061057E" w:rsidRPr="00A768CC">
        <w:rPr>
          <w:sz w:val="20"/>
        </w:rPr>
        <w:t xml:space="preserve">for the quarter </w:t>
      </w:r>
      <w:r w:rsidR="00BF4D34" w:rsidRPr="00A768CC">
        <w:rPr>
          <w:sz w:val="20"/>
        </w:rPr>
        <w:t xml:space="preserve">(as measured by the EAFE </w:t>
      </w:r>
      <w:r w:rsidR="00903C70" w:rsidRPr="00A768CC">
        <w:rPr>
          <w:sz w:val="20"/>
        </w:rPr>
        <w:t>I</w:t>
      </w:r>
      <w:r w:rsidR="00BF4D34" w:rsidRPr="00A768CC">
        <w:rPr>
          <w:sz w:val="20"/>
        </w:rPr>
        <w:t>ndex)</w:t>
      </w:r>
      <w:r w:rsidR="004F41B2" w:rsidRPr="00A768CC">
        <w:rPr>
          <w:sz w:val="20"/>
        </w:rPr>
        <w:t>.</w:t>
      </w:r>
      <w:r w:rsidR="009E6D81" w:rsidRPr="00A768CC">
        <w:rPr>
          <w:sz w:val="20"/>
        </w:rPr>
        <w:t xml:space="preserve">  </w:t>
      </w:r>
      <w:r w:rsidR="00DB72AE" w:rsidRPr="00A768CC">
        <w:rPr>
          <w:sz w:val="20"/>
        </w:rPr>
        <w:t>E</w:t>
      </w:r>
      <w:r w:rsidR="00BF4D34" w:rsidRPr="00A768CC">
        <w:rPr>
          <w:sz w:val="20"/>
        </w:rPr>
        <w:t xml:space="preserve">merging </w:t>
      </w:r>
      <w:r w:rsidR="00DB72AE" w:rsidRPr="00A768CC">
        <w:rPr>
          <w:sz w:val="20"/>
        </w:rPr>
        <w:t>M</w:t>
      </w:r>
      <w:r w:rsidR="00BF4D34" w:rsidRPr="00A768CC">
        <w:rPr>
          <w:sz w:val="20"/>
        </w:rPr>
        <w:t xml:space="preserve">arkets </w:t>
      </w:r>
      <w:r w:rsidR="00E011C2" w:rsidRPr="00A768CC">
        <w:rPr>
          <w:sz w:val="20"/>
        </w:rPr>
        <w:t xml:space="preserve">(EM) </w:t>
      </w:r>
      <w:r w:rsidR="00D25C3C" w:rsidRPr="00A768CC">
        <w:rPr>
          <w:sz w:val="20"/>
        </w:rPr>
        <w:t xml:space="preserve">fared </w:t>
      </w:r>
      <w:r w:rsidR="006B520F" w:rsidRPr="00A768CC">
        <w:rPr>
          <w:sz w:val="20"/>
        </w:rPr>
        <w:t>worse</w:t>
      </w:r>
      <w:r w:rsidR="004552E3" w:rsidRPr="00A768CC">
        <w:rPr>
          <w:sz w:val="20"/>
        </w:rPr>
        <w:t xml:space="preserve">, </w:t>
      </w:r>
      <w:r w:rsidR="004B0085" w:rsidRPr="00A768CC">
        <w:rPr>
          <w:sz w:val="20"/>
        </w:rPr>
        <w:t>dropping</w:t>
      </w:r>
      <w:r w:rsidR="006B520F" w:rsidRPr="00A768CC">
        <w:rPr>
          <w:sz w:val="20"/>
        </w:rPr>
        <w:t xml:space="preserve"> </w:t>
      </w:r>
      <w:r w:rsidRPr="00A768CC">
        <w:rPr>
          <w:sz w:val="20"/>
        </w:rPr>
        <w:t>7.0</w:t>
      </w:r>
      <w:r w:rsidR="005F624F" w:rsidRPr="00A768CC">
        <w:rPr>
          <w:sz w:val="20"/>
        </w:rPr>
        <w:t>%</w:t>
      </w:r>
      <w:r w:rsidR="00C422C8" w:rsidRPr="00A768CC">
        <w:rPr>
          <w:sz w:val="20"/>
        </w:rPr>
        <w:t xml:space="preserve"> </w:t>
      </w:r>
      <w:r w:rsidR="00CE1586" w:rsidRPr="00A768CC">
        <w:rPr>
          <w:sz w:val="20"/>
        </w:rPr>
        <w:t>for the quarter</w:t>
      </w:r>
      <w:r w:rsidR="00BF4D34" w:rsidRPr="00A768CC">
        <w:rPr>
          <w:sz w:val="20"/>
        </w:rPr>
        <w:t xml:space="preserve"> (using the MSCI Emerging Market Index).</w:t>
      </w:r>
      <w:r w:rsidRPr="00A768CC">
        <w:rPr>
          <w:sz w:val="20"/>
        </w:rPr>
        <w:t xml:space="preserve">  </w:t>
      </w:r>
      <w:r w:rsidR="00CB2C1F" w:rsidRPr="00A768CC">
        <w:rPr>
          <w:sz w:val="20"/>
        </w:rPr>
        <w:t xml:space="preserve">Putting the US and </w:t>
      </w:r>
      <w:r w:rsidR="00CE1586" w:rsidRPr="00A768CC">
        <w:rPr>
          <w:sz w:val="20"/>
        </w:rPr>
        <w:t>I</w:t>
      </w:r>
      <w:r w:rsidR="00CB2C1F" w:rsidRPr="00A768CC">
        <w:rPr>
          <w:sz w:val="20"/>
        </w:rPr>
        <w:t xml:space="preserve">nternational </w:t>
      </w:r>
      <w:r w:rsidR="00003FBF" w:rsidRPr="00A768CC">
        <w:rPr>
          <w:sz w:val="20"/>
        </w:rPr>
        <w:t>M</w:t>
      </w:r>
      <w:r w:rsidR="00CB2C1F" w:rsidRPr="00A768CC">
        <w:rPr>
          <w:sz w:val="20"/>
        </w:rPr>
        <w:t xml:space="preserve">arkets together, the MSCI All-Country World Index </w:t>
      </w:r>
      <w:r w:rsidR="004B0085" w:rsidRPr="00A768CC">
        <w:rPr>
          <w:sz w:val="20"/>
        </w:rPr>
        <w:t>(ACWI)</w:t>
      </w:r>
      <w:r w:rsidR="005E2C93" w:rsidRPr="00A768CC">
        <w:rPr>
          <w:sz w:val="20"/>
        </w:rPr>
        <w:t xml:space="preserve"> </w:t>
      </w:r>
      <w:r w:rsidRPr="00A768CC">
        <w:rPr>
          <w:sz w:val="20"/>
        </w:rPr>
        <w:t>finished lower</w:t>
      </w:r>
      <w:r w:rsidR="005E2C93" w:rsidRPr="00A768CC">
        <w:rPr>
          <w:sz w:val="20"/>
        </w:rPr>
        <w:t xml:space="preserve"> by </w:t>
      </w:r>
      <w:r w:rsidRPr="00A768CC">
        <w:rPr>
          <w:sz w:val="20"/>
        </w:rPr>
        <w:t>5.3</w:t>
      </w:r>
      <w:r w:rsidR="00CB2C1F" w:rsidRPr="00A768CC">
        <w:rPr>
          <w:sz w:val="20"/>
        </w:rPr>
        <w:t>%</w:t>
      </w:r>
      <w:r w:rsidRPr="00A768CC">
        <w:rPr>
          <w:sz w:val="20"/>
        </w:rPr>
        <w:t xml:space="preserve"> for the three-month period</w:t>
      </w:r>
      <w:r w:rsidR="00D25C3C" w:rsidRPr="00A768CC">
        <w:rPr>
          <w:sz w:val="20"/>
        </w:rPr>
        <w:t xml:space="preserve">.  </w:t>
      </w:r>
    </w:p>
    <w:p w:rsidR="009A212B" w:rsidRPr="00A768CC" w:rsidRDefault="009A212B" w:rsidP="00EE2B8E">
      <w:pPr>
        <w:pStyle w:val="PGNormalJustified"/>
        <w:rPr>
          <w:sz w:val="20"/>
        </w:rPr>
      </w:pPr>
    </w:p>
    <w:p w:rsidR="00FE3D2D" w:rsidRPr="00A768CC" w:rsidRDefault="00EA500E" w:rsidP="00EE2B8E">
      <w:pPr>
        <w:pStyle w:val="PGNormalJustified"/>
        <w:rPr>
          <w:sz w:val="20"/>
        </w:rPr>
      </w:pPr>
      <w:r w:rsidRPr="00A768CC">
        <w:rPr>
          <w:sz w:val="20"/>
        </w:rPr>
        <w:t xml:space="preserve">The sector performance </w:t>
      </w:r>
      <w:r w:rsidR="008B477C" w:rsidRPr="00A768CC">
        <w:rPr>
          <w:sz w:val="20"/>
        </w:rPr>
        <w:t>can really be summarized as Energy and everything else.  Given the 30%+ rise in WTI crude oil, the Energy sector dominated performance, rising 39% to start the year.  Utilities was the only other positive sector</w:t>
      </w:r>
      <w:r w:rsidR="004B0085" w:rsidRPr="00A768CC">
        <w:rPr>
          <w:sz w:val="20"/>
        </w:rPr>
        <w:t xml:space="preserve"> during the quarter</w:t>
      </w:r>
      <w:r w:rsidR="008B477C" w:rsidRPr="00A768CC">
        <w:rPr>
          <w:sz w:val="20"/>
        </w:rPr>
        <w:t xml:space="preserve">, up just under 5%.  Consumer Staples, Financials </w:t>
      </w:r>
      <w:r w:rsidR="008B477C" w:rsidRPr="00A768CC">
        <w:rPr>
          <w:sz w:val="20"/>
        </w:rPr>
        <w:t>and Industrials rounde</w:t>
      </w:r>
      <w:r w:rsidR="004B0085" w:rsidRPr="00A768CC">
        <w:rPr>
          <w:sz w:val="20"/>
        </w:rPr>
        <w:t>d out the top five but finished</w:t>
      </w:r>
      <w:r w:rsidR="008B477C" w:rsidRPr="00A768CC">
        <w:rPr>
          <w:sz w:val="20"/>
        </w:rPr>
        <w:t xml:space="preserve"> lower by 1% to 2%.  Materials and Healthcare were two of the remaining sectors that outperformed the overall market, down between 2% and 3%.  Real Estate, Technology, </w:t>
      </w:r>
      <w:r w:rsidR="00D51BC0" w:rsidRPr="00A768CC">
        <w:rPr>
          <w:sz w:val="20"/>
        </w:rPr>
        <w:t xml:space="preserve">Consumer Discretionary, </w:t>
      </w:r>
      <w:r w:rsidR="008B477C" w:rsidRPr="00A768CC">
        <w:rPr>
          <w:sz w:val="20"/>
        </w:rPr>
        <w:t>and Communication Services were at the bottom of the list, falling between 6% and 12%</w:t>
      </w:r>
      <w:r w:rsidR="004B0085" w:rsidRPr="00A768CC">
        <w:rPr>
          <w:sz w:val="20"/>
        </w:rPr>
        <w:t xml:space="preserve"> for the period</w:t>
      </w:r>
      <w:r w:rsidR="008B477C" w:rsidRPr="00A768CC">
        <w:rPr>
          <w:sz w:val="20"/>
        </w:rPr>
        <w:t xml:space="preserve">. </w:t>
      </w:r>
      <w:r w:rsidR="004B0085" w:rsidRPr="00A768CC">
        <w:rPr>
          <w:sz w:val="20"/>
        </w:rPr>
        <w:t xml:space="preserve"> </w:t>
      </w:r>
      <w:r w:rsidR="008B477C" w:rsidRPr="00A768CC">
        <w:rPr>
          <w:sz w:val="20"/>
        </w:rPr>
        <w:t>Despite ending the final month of the quarter higher, the market definitely had a defensive tone to it, with Utilities leading the move up, rising over 10% in March</w:t>
      </w:r>
      <w:r w:rsidR="009903FB" w:rsidRPr="00A768CC">
        <w:rPr>
          <w:sz w:val="20"/>
        </w:rPr>
        <w:t>.</w:t>
      </w:r>
    </w:p>
    <w:p w:rsidR="009A212B" w:rsidRPr="00A768CC" w:rsidRDefault="009A212B" w:rsidP="00EE2B8E">
      <w:pPr>
        <w:pStyle w:val="PGNormalJustified"/>
        <w:rPr>
          <w:sz w:val="20"/>
        </w:rPr>
      </w:pPr>
    </w:p>
    <w:p w:rsidR="0028767A" w:rsidRPr="00A768CC" w:rsidRDefault="002149B1" w:rsidP="00EE2B8E">
      <w:pPr>
        <w:pStyle w:val="PGNormalJustified"/>
        <w:rPr>
          <w:sz w:val="20"/>
        </w:rPr>
      </w:pPr>
      <w:r w:rsidRPr="00A768CC">
        <w:rPr>
          <w:sz w:val="20"/>
        </w:rPr>
        <w:t xml:space="preserve">We talked last quarter about the influence of the largest names in the S&amp;P 500 and while these holdings did get hit hard in the first two months of the year, they resumed leadership in March.  </w:t>
      </w:r>
      <w:r w:rsidR="00D34DB5" w:rsidRPr="00A768CC">
        <w:rPr>
          <w:sz w:val="20"/>
        </w:rPr>
        <w:t xml:space="preserve">We still believe there is better value overall down the market capitalization spectrum.  </w:t>
      </w:r>
      <w:r w:rsidRPr="00A768CC">
        <w:rPr>
          <w:sz w:val="20"/>
        </w:rPr>
        <w:t>Given the price movements in other parts of financial markets including significantly higher commodity prices and interest rates, it is no surprise that the equity market is starting to show signs of concern regarding economic growth in the US and globally.  We can see this not only in the price direction of the overall market (</w:t>
      </w:r>
      <w:r w:rsidR="00D34DB5" w:rsidRPr="00A768CC">
        <w:rPr>
          <w:sz w:val="20"/>
        </w:rPr>
        <w:t xml:space="preserve">generally </w:t>
      </w:r>
      <w:r w:rsidRPr="00A768CC">
        <w:rPr>
          <w:sz w:val="20"/>
        </w:rPr>
        <w:t xml:space="preserve">lower), but also the sector performance in recent weeks as investors are gravitating toward less economically sensitive parts of the market like Healthcare and Utilities.  Between these two areas, we favor Healthcare given the long-term growth prospects in this </w:t>
      </w:r>
      <w:r w:rsidR="00D34DB5" w:rsidRPr="00A768CC">
        <w:rPr>
          <w:sz w:val="20"/>
        </w:rPr>
        <w:t>group and</w:t>
      </w:r>
      <w:r w:rsidR="000206AA" w:rsidRPr="00A768CC">
        <w:rPr>
          <w:sz w:val="20"/>
        </w:rPr>
        <w:t xml:space="preserve"> we</w:t>
      </w:r>
      <w:r w:rsidR="00D34DB5" w:rsidRPr="00A768CC">
        <w:rPr>
          <w:sz w:val="20"/>
        </w:rPr>
        <w:t xml:space="preserve"> have recently added weight to this s</w:t>
      </w:r>
      <w:r w:rsidR="004B0085" w:rsidRPr="00A768CC">
        <w:rPr>
          <w:sz w:val="20"/>
        </w:rPr>
        <w:t>pace</w:t>
      </w:r>
      <w:r w:rsidRPr="00A768CC">
        <w:rPr>
          <w:sz w:val="20"/>
        </w:rPr>
        <w:t>.</w:t>
      </w:r>
      <w:r w:rsidR="00D34DB5" w:rsidRPr="00A768CC">
        <w:rPr>
          <w:sz w:val="20"/>
        </w:rPr>
        <w:t xml:space="preserve">  </w:t>
      </w:r>
    </w:p>
    <w:p w:rsidR="0028767A" w:rsidRPr="00A768CC" w:rsidRDefault="0028767A" w:rsidP="00EE2B8E">
      <w:pPr>
        <w:pStyle w:val="PGNormalJustified"/>
        <w:rPr>
          <w:sz w:val="20"/>
        </w:rPr>
      </w:pPr>
    </w:p>
    <w:p w:rsidR="000F6CE9" w:rsidRPr="00A768CC" w:rsidRDefault="00D34DB5" w:rsidP="00EE2B8E">
      <w:pPr>
        <w:pStyle w:val="PGNormalJustified"/>
        <w:rPr>
          <w:sz w:val="20"/>
        </w:rPr>
      </w:pPr>
      <w:r w:rsidRPr="00A768CC">
        <w:rPr>
          <w:sz w:val="20"/>
        </w:rPr>
        <w:t xml:space="preserve">The first quarter earnings season will </w:t>
      </w:r>
      <w:r w:rsidR="004B0085" w:rsidRPr="00A768CC">
        <w:rPr>
          <w:sz w:val="20"/>
        </w:rPr>
        <w:t xml:space="preserve">be </w:t>
      </w:r>
      <w:r w:rsidRPr="00A768CC">
        <w:rPr>
          <w:sz w:val="20"/>
        </w:rPr>
        <w:t xml:space="preserve">interesting as companies provide an update on </w:t>
      </w:r>
      <w:r w:rsidR="004B0085" w:rsidRPr="00A768CC">
        <w:rPr>
          <w:sz w:val="20"/>
        </w:rPr>
        <w:t xml:space="preserve">how </w:t>
      </w:r>
      <w:r w:rsidRPr="00A768CC">
        <w:rPr>
          <w:sz w:val="20"/>
        </w:rPr>
        <w:t xml:space="preserve">they are navigating continued supply chain challenges and higher input costs.  </w:t>
      </w:r>
      <w:r w:rsidR="005D6957" w:rsidRPr="00A768CC">
        <w:rPr>
          <w:rFonts w:eastAsia="Times New Roman"/>
          <w:sz w:val="20"/>
        </w:rPr>
        <w:t xml:space="preserve">Diversification, valuation levels, and sensitivity to both geopolitical and supply chain issues are currently even more of a priority than usual.  </w:t>
      </w:r>
      <w:r w:rsidRPr="00A768CC">
        <w:rPr>
          <w:sz w:val="20"/>
        </w:rPr>
        <w:t>The ride could continue to be bumpy for equities in 2022, but we will endeavor to look for the opportunities these price movements create.</w:t>
      </w:r>
      <w:r w:rsidR="002149B1" w:rsidRPr="00A768CC">
        <w:rPr>
          <w:sz w:val="20"/>
        </w:rPr>
        <w:t xml:space="preserve"> </w:t>
      </w:r>
      <w:r w:rsidR="00674A82" w:rsidRPr="00A768CC">
        <w:rPr>
          <w:sz w:val="20"/>
        </w:rPr>
        <w:t xml:space="preserve"> </w:t>
      </w:r>
      <w:r w:rsidR="00D53DFE" w:rsidRPr="00A768CC">
        <w:rPr>
          <w:sz w:val="20"/>
        </w:rPr>
        <w:t xml:space="preserve"> </w:t>
      </w:r>
    </w:p>
    <w:p w:rsidR="00D53DFE" w:rsidRPr="00A768CC" w:rsidRDefault="00D53DFE">
      <w:pPr>
        <w:rPr>
          <w:rFonts w:cstheme="minorHAnsi"/>
          <w:sz w:val="20"/>
        </w:rPr>
      </w:pPr>
    </w:p>
    <w:p w:rsidR="00531ABE" w:rsidRPr="00A768CC" w:rsidRDefault="00BF4D34" w:rsidP="00815A87">
      <w:pPr>
        <w:pStyle w:val="PGSubTitle"/>
        <w:rPr>
          <w:rFonts w:asciiTheme="minorHAnsi" w:hAnsiTheme="minorHAnsi" w:cstheme="minorHAnsi"/>
          <w:sz w:val="24"/>
        </w:rPr>
      </w:pPr>
      <w:r w:rsidRPr="00A768CC">
        <w:rPr>
          <w:rFonts w:asciiTheme="minorHAnsi" w:hAnsiTheme="minorHAnsi" w:cstheme="minorHAnsi"/>
          <w:sz w:val="24"/>
        </w:rPr>
        <w:t>The Bond Market</w:t>
      </w:r>
    </w:p>
    <w:p w:rsidR="00531ABE" w:rsidRPr="00A768CC" w:rsidRDefault="00BF4D34" w:rsidP="00EE64FA">
      <w:pPr>
        <w:pStyle w:val="PGSubTitle"/>
        <w:rPr>
          <w:rFonts w:asciiTheme="minorHAnsi" w:hAnsiTheme="minorHAnsi" w:cstheme="minorHAnsi"/>
          <w:sz w:val="20"/>
          <w:szCs w:val="22"/>
          <w:u w:val="none"/>
        </w:rPr>
      </w:pPr>
      <w:r w:rsidRPr="00A768CC">
        <w:rPr>
          <w:rFonts w:asciiTheme="minorHAnsi" w:hAnsiTheme="minorHAnsi" w:cstheme="minorHAnsi"/>
          <w:sz w:val="20"/>
          <w:szCs w:val="22"/>
          <w:u w:val="none"/>
        </w:rPr>
        <w:t>By John Wiseman</w:t>
      </w:r>
    </w:p>
    <w:p w:rsidR="0028767A" w:rsidRPr="00A768CC" w:rsidRDefault="00072B01" w:rsidP="00EE2B8E">
      <w:pPr>
        <w:pStyle w:val="PGNormalJustified"/>
        <w:rPr>
          <w:sz w:val="20"/>
        </w:rPr>
      </w:pPr>
      <w:r w:rsidRPr="00A768CC">
        <w:rPr>
          <w:sz w:val="20"/>
        </w:rPr>
        <w:t xml:space="preserve">Well, that </w:t>
      </w:r>
      <w:r w:rsidR="00B65F5A" w:rsidRPr="00A768CC">
        <w:rPr>
          <w:sz w:val="20"/>
        </w:rPr>
        <w:t>escalated quickly</w:t>
      </w:r>
      <w:r w:rsidRPr="00A768CC">
        <w:rPr>
          <w:sz w:val="20"/>
        </w:rPr>
        <w:t>!  Bond yields</w:t>
      </w:r>
      <w:r w:rsidR="00B65F5A" w:rsidRPr="00A768CC">
        <w:rPr>
          <w:sz w:val="20"/>
        </w:rPr>
        <w:t xml:space="preserve"> jumped</w:t>
      </w:r>
      <w:r w:rsidRPr="00A768CC">
        <w:rPr>
          <w:sz w:val="20"/>
        </w:rPr>
        <w:t xml:space="preserve"> higher resulting in one of the worst quarterly performances for fixed income on record.  As mentioned in the Eco</w:t>
      </w:r>
      <w:r w:rsidR="00B65F5A" w:rsidRPr="00A768CC">
        <w:rPr>
          <w:sz w:val="20"/>
        </w:rPr>
        <w:t>nomics section, inflation has not</w:t>
      </w:r>
      <w:r w:rsidRPr="00A768CC">
        <w:rPr>
          <w:sz w:val="20"/>
        </w:rPr>
        <w:t xml:space="preserve"> abated, the job market remains strong, and the consumer is excitedly adding post pandemic spending on services along with </w:t>
      </w:r>
      <w:r w:rsidR="000206AA" w:rsidRPr="00A768CC">
        <w:rPr>
          <w:sz w:val="20"/>
        </w:rPr>
        <w:t xml:space="preserve">the </w:t>
      </w:r>
      <w:r w:rsidRPr="00A768CC">
        <w:rPr>
          <w:sz w:val="20"/>
        </w:rPr>
        <w:t xml:space="preserve">continued buying of goods.  The war in Ukraine </w:t>
      </w:r>
      <w:r w:rsidRPr="00A768CC">
        <w:rPr>
          <w:sz w:val="20"/>
        </w:rPr>
        <w:lastRenderedPageBreak/>
        <w:t>supplanted Covid as the reason for stressed supply chains with the focus on worldwide food and energy stores.  The higher inflation and central banks pivoting to a more hawkish stance sent bond prices sharply lower</w:t>
      </w:r>
      <w:r w:rsidR="00B65F5A" w:rsidRPr="00A768CC">
        <w:rPr>
          <w:sz w:val="20"/>
        </w:rPr>
        <w:t xml:space="preserve"> (and yields higher)</w:t>
      </w:r>
      <w:r w:rsidRPr="00A768CC">
        <w:rPr>
          <w:sz w:val="20"/>
        </w:rPr>
        <w:t>.</w:t>
      </w:r>
    </w:p>
    <w:p w:rsidR="0028767A" w:rsidRPr="00A768CC" w:rsidRDefault="0028767A" w:rsidP="00EE2B8E">
      <w:pPr>
        <w:pStyle w:val="PGNormalJustified"/>
        <w:rPr>
          <w:sz w:val="20"/>
        </w:rPr>
      </w:pPr>
    </w:p>
    <w:p w:rsidR="00072B01" w:rsidRPr="00A768CC" w:rsidRDefault="00072B01" w:rsidP="00EE2B8E">
      <w:pPr>
        <w:pStyle w:val="PGNormalJustified"/>
        <w:rPr>
          <w:sz w:val="20"/>
        </w:rPr>
      </w:pPr>
      <w:r w:rsidRPr="00A768CC">
        <w:rPr>
          <w:sz w:val="20"/>
        </w:rPr>
        <w:t xml:space="preserve">The Federal Reserve increased its Funds Rate range by one quarter percent and is expected to hike it by two more percentage points at its meetings throughout the year.  The yield on the 2-Year Treasury note increased by 160 basis points (1.60%) this quarter to 2.33% while the yield on the 10-Year Treasury Note moved up 83 basis point (0.83%) to 2.34%.  This resulted in total returns of -2.50% and -6.75%, respectively.  As </w:t>
      </w:r>
      <w:r w:rsidR="000206AA" w:rsidRPr="00A768CC">
        <w:rPr>
          <w:sz w:val="20"/>
        </w:rPr>
        <w:t>noted</w:t>
      </w:r>
      <w:r w:rsidRPr="00A768CC">
        <w:rPr>
          <w:sz w:val="20"/>
        </w:rPr>
        <w:t xml:space="preserve"> above, the yield curve is flat which means yields at various maturities are roughly the same level. This is historically not a great sign for future economic activity.  We think inflation will remain persistent and is not fully reflected in long bonds, but shorter maturities offer attractive opportunities due to the sharp move higher in yields.</w:t>
      </w:r>
    </w:p>
    <w:p w:rsidR="00072B01" w:rsidRPr="00A768CC" w:rsidRDefault="00072B01" w:rsidP="00EE2B8E">
      <w:pPr>
        <w:pStyle w:val="PGNormalJustified"/>
        <w:rPr>
          <w:sz w:val="20"/>
        </w:rPr>
      </w:pPr>
    </w:p>
    <w:p w:rsidR="00072B01" w:rsidRPr="00A768CC" w:rsidRDefault="00072B01" w:rsidP="00EE2B8E">
      <w:pPr>
        <w:pStyle w:val="PGNormalJustified"/>
        <w:rPr>
          <w:sz w:val="20"/>
        </w:rPr>
      </w:pPr>
      <w:r w:rsidRPr="00A768CC">
        <w:rPr>
          <w:sz w:val="20"/>
        </w:rPr>
        <w:t>Corporate bonds were equally challenged</w:t>
      </w:r>
      <w:r w:rsidR="00B65F5A" w:rsidRPr="00A768CC">
        <w:rPr>
          <w:sz w:val="20"/>
        </w:rPr>
        <w:t xml:space="preserve"> during the quarter</w:t>
      </w:r>
      <w:r w:rsidRPr="00A768CC">
        <w:rPr>
          <w:sz w:val="20"/>
        </w:rPr>
        <w:t xml:space="preserve">.  Not only did the underlying rates move higher, but the spreads at which corporates trade above the underlying rates also moved higher.  The spread of the Bloomberg Intermediate Corporate Index reached its highest level since the pandemic of 122 basis points (1.22%) before settling the quarter at 92 basis points (0.92%).  For perspective, this index was 58 basis points at its lows last year and has averaged 105 basis points over the last 10 years, including the spike to 380 basis points in March of 2020.  The total return of this index was -5.25% for the quarter – the third worst reading in the near fifty-year history of this </w:t>
      </w:r>
      <w:r w:rsidR="00B65F5A" w:rsidRPr="00A768CC">
        <w:rPr>
          <w:sz w:val="20"/>
        </w:rPr>
        <w:t>I</w:t>
      </w:r>
      <w:r w:rsidRPr="00A768CC">
        <w:rPr>
          <w:sz w:val="20"/>
        </w:rPr>
        <w:t>ndex.  Corporate bond issuance has been robust from investment-grade companies.  We are favorable to corporate bonds as spreads have moved higher and the weakness in risk assets is not a broad-based credit event.</w:t>
      </w:r>
    </w:p>
    <w:p w:rsidR="00072B01" w:rsidRPr="00A768CC" w:rsidRDefault="00072B01" w:rsidP="00EE2B8E">
      <w:pPr>
        <w:pStyle w:val="PGNormalJustified"/>
        <w:rPr>
          <w:sz w:val="20"/>
          <w:highlight w:val="yellow"/>
        </w:rPr>
      </w:pPr>
    </w:p>
    <w:p w:rsidR="00072B01" w:rsidRPr="00A768CC" w:rsidRDefault="00072B01" w:rsidP="00EE2B8E">
      <w:pPr>
        <w:pStyle w:val="PGNormalJustified"/>
        <w:rPr>
          <w:sz w:val="20"/>
        </w:rPr>
      </w:pPr>
      <w:r w:rsidRPr="00A768CC">
        <w:rPr>
          <w:sz w:val="20"/>
        </w:rPr>
        <w:t xml:space="preserve">Municipal yields held stable in the initial move higher in rates late last year, but finally joined other fixed income investments in the difficult environment as the calendar turned to 2022.  The Bloomberg 5-Year Municipal Index ended the quarterly period with a total return of -5.10%, which was the worst quarter for this index dating back to 1988.  The ratio of the 5-Year Municipal to Treasury, a measure of relative value, is 78% which is slightly below the ten-year average.  According to Strategas Research Partners, for the 2021 calendar year State &amp; Local Governments produced their largest budget </w:t>
      </w:r>
      <w:r w:rsidRPr="00A768CC">
        <w:rPr>
          <w:sz w:val="20"/>
        </w:rPr>
        <w:t xml:space="preserve">surplus since 1941 thanks to funds from the federal level.  That money is just beginning to be spent.  The lack of fixed income alternatives and low rates post pandemic attracted non-traditional investors to the municipal market.  We think this </w:t>
      </w:r>
      <w:r w:rsidR="00B65F5A" w:rsidRPr="00A768CC">
        <w:rPr>
          <w:sz w:val="20"/>
        </w:rPr>
        <w:t>dynamic will fade</w:t>
      </w:r>
      <w:r w:rsidRPr="00A768CC">
        <w:rPr>
          <w:sz w:val="20"/>
        </w:rPr>
        <w:t xml:space="preserve"> and municipals will remain attractive for investors in higher tax brackets.</w:t>
      </w:r>
    </w:p>
    <w:p w:rsidR="00EA571B" w:rsidRDefault="00EA571B">
      <w:pPr>
        <w:rPr>
          <w:rFonts w:ascii="Arial" w:hAnsi="Arial" w:cs="Arial"/>
          <w:sz w:val="16"/>
          <w:szCs w:val="16"/>
        </w:rPr>
      </w:pPr>
    </w:p>
    <w:p w:rsidR="00DF0A8E" w:rsidRPr="002B3E75" w:rsidRDefault="00DF0A8E" w:rsidP="00DB1A2E">
      <w:pPr>
        <w:pStyle w:val="PGNormalJustified"/>
        <w:rPr>
          <w:rFonts w:ascii="Arial" w:hAnsi="Arial" w:cs="Arial"/>
          <w:sz w:val="16"/>
          <w:szCs w:val="16"/>
        </w:rPr>
      </w:pPr>
    </w:p>
    <w:tbl>
      <w:tblPr>
        <w:tblStyle w:val="TableGrid"/>
        <w:tblW w:w="6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1852"/>
        <w:gridCol w:w="1260"/>
        <w:gridCol w:w="1260"/>
        <w:gridCol w:w="1260"/>
      </w:tblGrid>
      <w:tr w:rsidR="004B38C3" w:rsidRPr="001E47F8" w:rsidTr="001B3FB0">
        <w:trPr>
          <w:jc w:val="center"/>
        </w:trPr>
        <w:tc>
          <w:tcPr>
            <w:tcW w:w="1298" w:type="dxa"/>
            <w:shd w:val="clear" w:color="auto" w:fill="BFBFBF" w:themeFill="background1" w:themeFillShade="BF"/>
          </w:tcPr>
          <w:p w:rsidR="0060586D" w:rsidRPr="001E47F8" w:rsidRDefault="0060586D">
            <w:pPr>
              <w:ind w:left="180"/>
              <w:jc w:val="center"/>
              <w:rPr>
                <w:rFonts w:ascii="Arial" w:eastAsia="Times New Roman" w:hAnsi="Arial" w:cs="Arial"/>
                <w:b/>
                <w:bCs/>
                <w:color w:val="000000" w:themeColor="text1"/>
                <w:kern w:val="30"/>
              </w:rPr>
            </w:pPr>
          </w:p>
        </w:tc>
        <w:tc>
          <w:tcPr>
            <w:tcW w:w="5632" w:type="dxa"/>
            <w:gridSpan w:val="4"/>
            <w:shd w:val="clear" w:color="auto" w:fill="BFBFBF" w:themeFill="background1" w:themeFillShade="BF"/>
          </w:tcPr>
          <w:p w:rsidR="0060586D" w:rsidRPr="001E47F8" w:rsidRDefault="0060586D" w:rsidP="0000322F">
            <w:pPr>
              <w:ind w:left="1204"/>
              <w:rPr>
                <w:rFonts w:ascii="Arial" w:hAnsi="Arial" w:cs="Arial"/>
                <w:color w:val="000000" w:themeColor="text1"/>
                <w:szCs w:val="20"/>
                <w:lang w:val="en"/>
              </w:rPr>
            </w:pPr>
            <w:r w:rsidRPr="001E47F8">
              <w:rPr>
                <w:rFonts w:ascii="Arial" w:eastAsia="Times New Roman" w:hAnsi="Arial" w:cs="Arial"/>
                <w:b/>
                <w:bCs/>
                <w:color w:val="000000" w:themeColor="text1"/>
                <w:kern w:val="30"/>
              </w:rPr>
              <w:t>Market Indicators</w:t>
            </w:r>
          </w:p>
        </w:tc>
      </w:tr>
      <w:tr w:rsidR="004B38C3" w:rsidRPr="001E47F8" w:rsidTr="001B3FB0">
        <w:trPr>
          <w:jc w:val="center"/>
        </w:trPr>
        <w:tc>
          <w:tcPr>
            <w:tcW w:w="3150" w:type="dxa"/>
            <w:gridSpan w:val="2"/>
          </w:tcPr>
          <w:p w:rsidR="0060586D" w:rsidRPr="002A72C0" w:rsidRDefault="00076EE5" w:rsidP="0060586D">
            <w:pPr>
              <w:widowControl w:val="0"/>
              <w:overflowPunct w:val="0"/>
              <w:autoSpaceDE w:val="0"/>
              <w:autoSpaceDN w:val="0"/>
              <w:adjustRightInd w:val="0"/>
              <w:ind w:left="180"/>
              <w:rPr>
                <w:rFonts w:eastAsia="Times New Roman" w:cstheme="minorHAnsi"/>
                <w:b/>
                <w:bCs/>
                <w:color w:val="000000" w:themeColor="text1"/>
                <w:kern w:val="30"/>
                <w:sz w:val="18"/>
                <w:szCs w:val="18"/>
              </w:rPr>
            </w:pPr>
            <w:r w:rsidRPr="002A72C0">
              <w:rPr>
                <w:rFonts w:cstheme="minorHAnsi"/>
                <w:color w:val="000000" w:themeColor="text1"/>
                <w:sz w:val="16"/>
                <w:szCs w:val="16"/>
              </w:rPr>
              <w:t>Source:  Bloomberg</w:t>
            </w:r>
          </w:p>
        </w:tc>
        <w:tc>
          <w:tcPr>
            <w:tcW w:w="1260" w:type="dxa"/>
            <w:tcBorders>
              <w:bottom w:val="single" w:sz="4" w:space="0" w:color="auto"/>
            </w:tcBorders>
            <w:vAlign w:val="bottom"/>
          </w:tcPr>
          <w:p w:rsidR="0060586D" w:rsidRPr="002A72C0" w:rsidRDefault="00F11BCC" w:rsidP="0060586D">
            <w:pPr>
              <w:widowControl w:val="0"/>
              <w:overflowPunct w:val="0"/>
              <w:autoSpaceDE w:val="0"/>
              <w:autoSpaceDN w:val="0"/>
              <w:adjustRightInd w:val="0"/>
              <w:spacing w:before="60"/>
              <w:jc w:val="center"/>
              <w:rPr>
                <w:rFonts w:eastAsia="Times New Roman" w:cstheme="minorHAnsi"/>
                <w:b/>
                <w:bCs/>
                <w:color w:val="000000" w:themeColor="text1"/>
                <w:kern w:val="30"/>
                <w:sz w:val="18"/>
                <w:szCs w:val="18"/>
              </w:rPr>
            </w:pPr>
            <w:r w:rsidRPr="002A72C0">
              <w:rPr>
                <w:rFonts w:eastAsia="Times New Roman" w:cstheme="minorHAnsi"/>
                <w:b/>
                <w:bCs/>
                <w:color w:val="000000" w:themeColor="text1"/>
                <w:kern w:val="30"/>
                <w:sz w:val="18"/>
                <w:szCs w:val="18"/>
              </w:rPr>
              <w:t>QTD 20</w:t>
            </w:r>
            <w:r w:rsidR="008B7DF0">
              <w:rPr>
                <w:rFonts w:eastAsia="Times New Roman" w:cstheme="minorHAnsi"/>
                <w:b/>
                <w:bCs/>
                <w:color w:val="000000" w:themeColor="text1"/>
                <w:kern w:val="30"/>
                <w:sz w:val="18"/>
                <w:szCs w:val="18"/>
              </w:rPr>
              <w:t>2</w:t>
            </w:r>
            <w:r w:rsidR="00226C7E">
              <w:rPr>
                <w:rFonts w:eastAsia="Times New Roman" w:cstheme="minorHAnsi"/>
                <w:b/>
                <w:bCs/>
                <w:color w:val="000000" w:themeColor="text1"/>
                <w:kern w:val="30"/>
                <w:sz w:val="18"/>
                <w:szCs w:val="18"/>
              </w:rPr>
              <w:t>2</w:t>
            </w:r>
          </w:p>
          <w:p w:rsidR="0060586D" w:rsidRPr="002A72C0" w:rsidRDefault="0060586D" w:rsidP="0060586D">
            <w:pPr>
              <w:widowControl w:val="0"/>
              <w:overflowPunct w:val="0"/>
              <w:autoSpaceDE w:val="0"/>
              <w:autoSpaceDN w:val="0"/>
              <w:adjustRightInd w:val="0"/>
              <w:spacing w:before="60"/>
              <w:jc w:val="center"/>
              <w:rPr>
                <w:rFonts w:eastAsia="Times New Roman" w:cstheme="minorHAnsi"/>
                <w:b/>
                <w:bCs/>
                <w:color w:val="000000" w:themeColor="text1"/>
                <w:kern w:val="30"/>
                <w:sz w:val="18"/>
                <w:szCs w:val="18"/>
                <w:vertAlign w:val="superscript"/>
              </w:rPr>
            </w:pPr>
            <w:r w:rsidRPr="002A72C0">
              <w:rPr>
                <w:rFonts w:eastAsia="Times New Roman" w:cstheme="minorHAnsi"/>
                <w:b/>
                <w:bCs/>
                <w:color w:val="000000" w:themeColor="text1"/>
                <w:kern w:val="30"/>
                <w:sz w:val="18"/>
                <w:szCs w:val="18"/>
              </w:rPr>
              <w:t>Total Return</w:t>
            </w:r>
            <w:r w:rsidRPr="002A72C0">
              <w:rPr>
                <w:rFonts w:eastAsia="Times New Roman" w:cstheme="minorHAnsi"/>
                <w:b/>
                <w:bCs/>
                <w:color w:val="000000" w:themeColor="text1"/>
                <w:kern w:val="30"/>
                <w:sz w:val="20"/>
                <w:szCs w:val="20"/>
                <w:vertAlign w:val="superscript"/>
              </w:rPr>
              <w:t>1</w:t>
            </w:r>
          </w:p>
        </w:tc>
        <w:tc>
          <w:tcPr>
            <w:tcW w:w="1260" w:type="dxa"/>
            <w:tcBorders>
              <w:bottom w:val="single" w:sz="4" w:space="0" w:color="auto"/>
            </w:tcBorders>
            <w:vAlign w:val="bottom"/>
          </w:tcPr>
          <w:p w:rsidR="0060586D" w:rsidRPr="002A72C0" w:rsidRDefault="0060586D" w:rsidP="0060586D">
            <w:pPr>
              <w:widowControl w:val="0"/>
              <w:overflowPunct w:val="0"/>
              <w:autoSpaceDE w:val="0"/>
              <w:autoSpaceDN w:val="0"/>
              <w:adjustRightInd w:val="0"/>
              <w:spacing w:before="60"/>
              <w:jc w:val="center"/>
              <w:rPr>
                <w:rFonts w:eastAsia="Times New Roman" w:cstheme="minorHAnsi"/>
                <w:b/>
                <w:bCs/>
                <w:color w:val="000000" w:themeColor="text1"/>
                <w:kern w:val="30"/>
                <w:sz w:val="18"/>
                <w:szCs w:val="18"/>
              </w:rPr>
            </w:pPr>
            <w:r w:rsidRPr="002A72C0">
              <w:rPr>
                <w:rFonts w:eastAsia="Times New Roman" w:cstheme="minorHAnsi"/>
                <w:b/>
                <w:bCs/>
                <w:color w:val="000000" w:themeColor="text1"/>
                <w:kern w:val="30"/>
                <w:sz w:val="18"/>
                <w:szCs w:val="18"/>
              </w:rPr>
              <w:t>YTD 20</w:t>
            </w:r>
            <w:r w:rsidR="00151247">
              <w:rPr>
                <w:rFonts w:eastAsia="Times New Roman" w:cstheme="minorHAnsi"/>
                <w:b/>
                <w:bCs/>
                <w:color w:val="000000" w:themeColor="text1"/>
                <w:kern w:val="30"/>
                <w:sz w:val="18"/>
                <w:szCs w:val="18"/>
              </w:rPr>
              <w:t>2</w:t>
            </w:r>
            <w:r w:rsidR="00226C7E">
              <w:rPr>
                <w:rFonts w:eastAsia="Times New Roman" w:cstheme="minorHAnsi"/>
                <w:b/>
                <w:bCs/>
                <w:color w:val="000000" w:themeColor="text1"/>
                <w:kern w:val="30"/>
                <w:sz w:val="18"/>
                <w:szCs w:val="18"/>
              </w:rPr>
              <w:t>2</w:t>
            </w:r>
          </w:p>
          <w:p w:rsidR="0060586D" w:rsidRPr="002A72C0" w:rsidRDefault="0060586D" w:rsidP="0060586D">
            <w:pPr>
              <w:widowControl w:val="0"/>
              <w:overflowPunct w:val="0"/>
              <w:autoSpaceDE w:val="0"/>
              <w:autoSpaceDN w:val="0"/>
              <w:adjustRightInd w:val="0"/>
              <w:spacing w:before="60"/>
              <w:jc w:val="center"/>
              <w:rPr>
                <w:rFonts w:eastAsia="Times New Roman" w:cstheme="minorHAnsi"/>
                <w:b/>
                <w:bCs/>
                <w:color w:val="000000" w:themeColor="text1"/>
                <w:kern w:val="30"/>
                <w:sz w:val="18"/>
                <w:szCs w:val="18"/>
                <w:vertAlign w:val="superscript"/>
              </w:rPr>
            </w:pPr>
            <w:r w:rsidRPr="002A72C0">
              <w:rPr>
                <w:rFonts w:eastAsia="Times New Roman" w:cstheme="minorHAnsi"/>
                <w:b/>
                <w:bCs/>
                <w:color w:val="000000" w:themeColor="text1"/>
                <w:kern w:val="30"/>
                <w:sz w:val="18"/>
                <w:szCs w:val="18"/>
              </w:rPr>
              <w:t>Total Return</w:t>
            </w:r>
            <w:r w:rsidRPr="002A72C0">
              <w:rPr>
                <w:rFonts w:eastAsia="Times New Roman" w:cstheme="minorHAnsi"/>
                <w:b/>
                <w:bCs/>
                <w:color w:val="000000" w:themeColor="text1"/>
                <w:kern w:val="30"/>
                <w:sz w:val="20"/>
                <w:szCs w:val="20"/>
                <w:vertAlign w:val="superscript"/>
              </w:rPr>
              <w:t>2</w:t>
            </w:r>
          </w:p>
        </w:tc>
        <w:tc>
          <w:tcPr>
            <w:tcW w:w="1260" w:type="dxa"/>
            <w:tcBorders>
              <w:bottom w:val="single" w:sz="4" w:space="0" w:color="auto"/>
            </w:tcBorders>
            <w:vAlign w:val="bottom"/>
          </w:tcPr>
          <w:p w:rsidR="0060586D" w:rsidRPr="002A72C0" w:rsidRDefault="0060586D" w:rsidP="0060586D">
            <w:pPr>
              <w:widowControl w:val="0"/>
              <w:overflowPunct w:val="0"/>
              <w:autoSpaceDE w:val="0"/>
              <w:autoSpaceDN w:val="0"/>
              <w:adjustRightInd w:val="0"/>
              <w:spacing w:before="60"/>
              <w:jc w:val="center"/>
              <w:rPr>
                <w:rFonts w:eastAsia="Times New Roman" w:cstheme="minorHAnsi"/>
                <w:b/>
                <w:bCs/>
                <w:color w:val="000000" w:themeColor="text1"/>
                <w:kern w:val="30"/>
                <w:sz w:val="18"/>
                <w:szCs w:val="18"/>
              </w:rPr>
            </w:pPr>
            <w:r w:rsidRPr="002A72C0">
              <w:rPr>
                <w:rFonts w:eastAsia="Times New Roman" w:cstheme="minorHAnsi"/>
                <w:b/>
                <w:bCs/>
                <w:color w:val="000000" w:themeColor="text1"/>
                <w:kern w:val="30"/>
                <w:sz w:val="18"/>
                <w:szCs w:val="18"/>
              </w:rPr>
              <w:t>52 Week</w:t>
            </w:r>
          </w:p>
          <w:p w:rsidR="0060586D" w:rsidRPr="002A72C0" w:rsidRDefault="0060586D" w:rsidP="0060586D">
            <w:pPr>
              <w:widowControl w:val="0"/>
              <w:overflowPunct w:val="0"/>
              <w:autoSpaceDE w:val="0"/>
              <w:autoSpaceDN w:val="0"/>
              <w:adjustRightInd w:val="0"/>
              <w:spacing w:before="60"/>
              <w:jc w:val="center"/>
              <w:rPr>
                <w:rFonts w:eastAsia="Times New Roman" w:cstheme="minorHAnsi"/>
                <w:b/>
                <w:bCs/>
                <w:color w:val="000000" w:themeColor="text1"/>
                <w:kern w:val="30"/>
                <w:sz w:val="18"/>
                <w:szCs w:val="18"/>
                <w:vertAlign w:val="superscript"/>
              </w:rPr>
            </w:pPr>
            <w:r w:rsidRPr="002A72C0">
              <w:rPr>
                <w:rFonts w:eastAsia="Times New Roman" w:cstheme="minorHAnsi"/>
                <w:b/>
                <w:bCs/>
                <w:color w:val="000000" w:themeColor="text1"/>
                <w:kern w:val="30"/>
                <w:sz w:val="18"/>
                <w:szCs w:val="18"/>
              </w:rPr>
              <w:t>Total Return</w:t>
            </w:r>
            <w:r w:rsidRPr="002A72C0">
              <w:rPr>
                <w:rFonts w:eastAsia="Times New Roman" w:cstheme="minorHAnsi"/>
                <w:b/>
                <w:bCs/>
                <w:color w:val="000000" w:themeColor="text1"/>
                <w:kern w:val="30"/>
                <w:sz w:val="20"/>
                <w:szCs w:val="20"/>
                <w:vertAlign w:val="superscript"/>
              </w:rPr>
              <w:t>3</w:t>
            </w:r>
          </w:p>
        </w:tc>
      </w:tr>
      <w:tr w:rsidR="004F336F" w:rsidRPr="001E47F8" w:rsidTr="001B3FB0">
        <w:trPr>
          <w:trHeight w:val="288"/>
          <w:jc w:val="center"/>
        </w:trPr>
        <w:tc>
          <w:tcPr>
            <w:tcW w:w="3150" w:type="dxa"/>
            <w:gridSpan w:val="2"/>
            <w:vAlign w:val="center"/>
          </w:tcPr>
          <w:p w:rsidR="004F336F" w:rsidRPr="002A72C0" w:rsidRDefault="004F336F" w:rsidP="004F336F">
            <w:pPr>
              <w:widowControl w:val="0"/>
              <w:overflowPunct w:val="0"/>
              <w:autoSpaceDE w:val="0"/>
              <w:autoSpaceDN w:val="0"/>
              <w:adjustRightInd w:val="0"/>
              <w:ind w:left="180"/>
              <w:rPr>
                <w:rFonts w:eastAsia="Times New Roman" w:cstheme="minorHAnsi"/>
                <w:b/>
                <w:bCs/>
                <w:color w:val="000000" w:themeColor="text1"/>
                <w:kern w:val="30"/>
                <w:sz w:val="18"/>
                <w:szCs w:val="18"/>
              </w:rPr>
            </w:pPr>
            <w:r w:rsidRPr="002A72C0">
              <w:rPr>
                <w:rFonts w:eastAsia="Times New Roman" w:cstheme="minorHAnsi"/>
                <w:b/>
                <w:bCs/>
                <w:color w:val="000000" w:themeColor="text1"/>
                <w:kern w:val="30"/>
                <w:sz w:val="18"/>
                <w:szCs w:val="18"/>
              </w:rPr>
              <w:t>S&amp;P 500</w:t>
            </w:r>
          </w:p>
        </w:tc>
        <w:tc>
          <w:tcPr>
            <w:tcW w:w="1260" w:type="dxa"/>
            <w:vAlign w:val="center"/>
          </w:tcPr>
          <w:p w:rsidR="004F336F" w:rsidRPr="002A72C0" w:rsidRDefault="00226C7E" w:rsidP="00515C52">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-4.60</w:t>
            </w:r>
            <w:r w:rsidR="004F336F" w:rsidRPr="002A72C0">
              <w:rPr>
                <w:rFonts w:eastAsia="Times New Roman" w:cstheme="minorHAnsi"/>
                <w:bCs/>
                <w:color w:val="000000" w:themeColor="text1"/>
                <w:kern w:val="30"/>
                <w:sz w:val="18"/>
                <w:szCs w:val="18"/>
              </w:rPr>
              <w:t>%</w:t>
            </w:r>
          </w:p>
        </w:tc>
        <w:tc>
          <w:tcPr>
            <w:tcW w:w="1260" w:type="dxa"/>
            <w:vAlign w:val="center"/>
          </w:tcPr>
          <w:p w:rsidR="004F336F" w:rsidRPr="002A72C0" w:rsidRDefault="00226C7E" w:rsidP="00515C52">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-4.60</w:t>
            </w:r>
            <w:r w:rsidR="004F336F" w:rsidRPr="002A72C0">
              <w:rPr>
                <w:rFonts w:eastAsia="Times New Roman" w:cstheme="minorHAnsi"/>
                <w:bCs/>
                <w:color w:val="000000" w:themeColor="text1"/>
                <w:kern w:val="30"/>
                <w:sz w:val="18"/>
                <w:szCs w:val="18"/>
              </w:rPr>
              <w:t>%</w:t>
            </w:r>
          </w:p>
        </w:tc>
        <w:tc>
          <w:tcPr>
            <w:tcW w:w="1260" w:type="dxa"/>
            <w:vAlign w:val="center"/>
          </w:tcPr>
          <w:p w:rsidR="004F336F" w:rsidRPr="002A72C0" w:rsidRDefault="00226C7E" w:rsidP="00515C52">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15.63</w:t>
            </w:r>
            <w:r w:rsidR="004F336F" w:rsidRPr="002A72C0">
              <w:rPr>
                <w:rFonts w:eastAsia="Times New Roman" w:cstheme="minorHAnsi"/>
                <w:bCs/>
                <w:color w:val="000000" w:themeColor="text1"/>
                <w:kern w:val="30"/>
                <w:sz w:val="18"/>
                <w:szCs w:val="18"/>
              </w:rPr>
              <w:t>%</w:t>
            </w:r>
          </w:p>
        </w:tc>
      </w:tr>
      <w:tr w:rsidR="004F336F" w:rsidRPr="001E47F8" w:rsidTr="001B3FB0">
        <w:trPr>
          <w:trHeight w:val="288"/>
          <w:jc w:val="center"/>
        </w:trPr>
        <w:tc>
          <w:tcPr>
            <w:tcW w:w="3150" w:type="dxa"/>
            <w:gridSpan w:val="2"/>
            <w:vAlign w:val="center"/>
          </w:tcPr>
          <w:p w:rsidR="004F336F" w:rsidRPr="002A72C0" w:rsidRDefault="004F336F" w:rsidP="004F336F">
            <w:pPr>
              <w:widowControl w:val="0"/>
              <w:overflowPunct w:val="0"/>
              <w:autoSpaceDE w:val="0"/>
              <w:autoSpaceDN w:val="0"/>
              <w:adjustRightInd w:val="0"/>
              <w:ind w:left="180"/>
              <w:rPr>
                <w:rFonts w:eastAsia="Times New Roman" w:cstheme="minorHAnsi"/>
                <w:b/>
                <w:bCs/>
                <w:color w:val="000000" w:themeColor="text1"/>
                <w:kern w:val="30"/>
                <w:sz w:val="18"/>
                <w:szCs w:val="18"/>
              </w:rPr>
            </w:pPr>
            <w:r w:rsidRPr="002A72C0">
              <w:rPr>
                <w:rFonts w:eastAsia="Times New Roman" w:cstheme="minorHAnsi"/>
                <w:b/>
                <w:bCs/>
                <w:color w:val="000000" w:themeColor="text1"/>
                <w:kern w:val="30"/>
                <w:sz w:val="18"/>
                <w:szCs w:val="18"/>
              </w:rPr>
              <w:t>DJIA</w:t>
            </w:r>
          </w:p>
        </w:tc>
        <w:tc>
          <w:tcPr>
            <w:tcW w:w="1260" w:type="dxa"/>
            <w:vAlign w:val="center"/>
          </w:tcPr>
          <w:p w:rsidR="004F336F" w:rsidRPr="002A72C0" w:rsidRDefault="00226C7E" w:rsidP="000453A2">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-4.10</w:t>
            </w:r>
            <w:r w:rsidR="004F336F" w:rsidRPr="002A72C0">
              <w:rPr>
                <w:rFonts w:eastAsia="Times New Roman" w:cstheme="minorHAnsi"/>
                <w:bCs/>
                <w:color w:val="000000" w:themeColor="text1"/>
                <w:kern w:val="30"/>
                <w:sz w:val="18"/>
                <w:szCs w:val="18"/>
              </w:rPr>
              <w:t>%</w:t>
            </w:r>
          </w:p>
        </w:tc>
        <w:tc>
          <w:tcPr>
            <w:tcW w:w="1260" w:type="dxa"/>
            <w:vAlign w:val="center"/>
          </w:tcPr>
          <w:p w:rsidR="004F336F" w:rsidRPr="002A72C0" w:rsidRDefault="00226C7E" w:rsidP="00515C52">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-4.10</w:t>
            </w:r>
            <w:r w:rsidR="004F336F" w:rsidRPr="002A72C0">
              <w:rPr>
                <w:rFonts w:eastAsia="Times New Roman" w:cstheme="minorHAnsi"/>
                <w:bCs/>
                <w:color w:val="000000" w:themeColor="text1"/>
                <w:kern w:val="30"/>
                <w:sz w:val="18"/>
                <w:szCs w:val="18"/>
              </w:rPr>
              <w:t>%</w:t>
            </w:r>
          </w:p>
        </w:tc>
        <w:tc>
          <w:tcPr>
            <w:tcW w:w="1260" w:type="dxa"/>
            <w:vAlign w:val="center"/>
          </w:tcPr>
          <w:p w:rsidR="004F336F" w:rsidRPr="002A72C0" w:rsidRDefault="00226C7E" w:rsidP="00173E7A">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7.11</w:t>
            </w:r>
            <w:r w:rsidR="004F336F" w:rsidRPr="002A72C0">
              <w:rPr>
                <w:rFonts w:eastAsia="Times New Roman" w:cstheme="minorHAnsi"/>
                <w:bCs/>
                <w:color w:val="000000" w:themeColor="text1"/>
                <w:kern w:val="30"/>
                <w:sz w:val="18"/>
                <w:szCs w:val="18"/>
              </w:rPr>
              <w:t>%</w:t>
            </w:r>
          </w:p>
        </w:tc>
      </w:tr>
      <w:tr w:rsidR="004F336F" w:rsidRPr="001E47F8" w:rsidTr="001B3FB0">
        <w:trPr>
          <w:trHeight w:val="288"/>
          <w:jc w:val="center"/>
        </w:trPr>
        <w:tc>
          <w:tcPr>
            <w:tcW w:w="3150" w:type="dxa"/>
            <w:gridSpan w:val="2"/>
            <w:vAlign w:val="center"/>
          </w:tcPr>
          <w:p w:rsidR="004F336F" w:rsidRPr="002A72C0" w:rsidRDefault="004F336F" w:rsidP="004F336F">
            <w:pPr>
              <w:widowControl w:val="0"/>
              <w:overflowPunct w:val="0"/>
              <w:autoSpaceDE w:val="0"/>
              <w:autoSpaceDN w:val="0"/>
              <w:adjustRightInd w:val="0"/>
              <w:ind w:left="180"/>
              <w:rPr>
                <w:rFonts w:eastAsia="Times New Roman" w:cstheme="minorHAnsi"/>
                <w:b/>
                <w:bCs/>
                <w:color w:val="000000" w:themeColor="text1"/>
                <w:kern w:val="30"/>
                <w:sz w:val="18"/>
                <w:szCs w:val="18"/>
              </w:rPr>
            </w:pPr>
            <w:r w:rsidRPr="002A72C0">
              <w:rPr>
                <w:rFonts w:eastAsia="Times New Roman" w:cstheme="minorHAnsi"/>
                <w:b/>
                <w:bCs/>
                <w:color w:val="000000" w:themeColor="text1"/>
                <w:kern w:val="30"/>
                <w:sz w:val="18"/>
                <w:szCs w:val="18"/>
              </w:rPr>
              <w:t>NASDAQ</w:t>
            </w:r>
          </w:p>
        </w:tc>
        <w:tc>
          <w:tcPr>
            <w:tcW w:w="1260" w:type="dxa"/>
            <w:vAlign w:val="center"/>
          </w:tcPr>
          <w:p w:rsidR="004F336F" w:rsidRPr="002A72C0" w:rsidRDefault="00226C7E" w:rsidP="00226C7E">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-8.94</w:t>
            </w:r>
            <w:r w:rsidR="004F336F" w:rsidRPr="002A72C0">
              <w:rPr>
                <w:rFonts w:eastAsia="Times New Roman" w:cstheme="minorHAnsi"/>
                <w:bCs/>
                <w:color w:val="000000" w:themeColor="text1"/>
                <w:kern w:val="30"/>
                <w:sz w:val="18"/>
                <w:szCs w:val="18"/>
              </w:rPr>
              <w:t>%</w:t>
            </w:r>
          </w:p>
        </w:tc>
        <w:tc>
          <w:tcPr>
            <w:tcW w:w="1260" w:type="dxa"/>
            <w:vAlign w:val="center"/>
          </w:tcPr>
          <w:p w:rsidR="004F336F" w:rsidRPr="002A72C0" w:rsidRDefault="00226C7E" w:rsidP="00515C52">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-8.94</w:t>
            </w:r>
            <w:r w:rsidR="004F336F" w:rsidRPr="002A72C0">
              <w:rPr>
                <w:rFonts w:eastAsia="Times New Roman" w:cstheme="minorHAnsi"/>
                <w:bCs/>
                <w:color w:val="000000" w:themeColor="text1"/>
                <w:kern w:val="30"/>
                <w:sz w:val="18"/>
                <w:szCs w:val="18"/>
              </w:rPr>
              <w:t>%</w:t>
            </w:r>
          </w:p>
        </w:tc>
        <w:tc>
          <w:tcPr>
            <w:tcW w:w="1260" w:type="dxa"/>
            <w:vAlign w:val="center"/>
          </w:tcPr>
          <w:p w:rsidR="004F336F" w:rsidRPr="002A72C0" w:rsidRDefault="00226C7E" w:rsidP="00515C52">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8.09</w:t>
            </w:r>
            <w:r w:rsidR="00D932B8">
              <w:rPr>
                <w:rFonts w:eastAsia="Times New Roman" w:cstheme="minorHAnsi"/>
                <w:bCs/>
                <w:color w:val="000000" w:themeColor="text1"/>
                <w:kern w:val="30"/>
                <w:sz w:val="18"/>
                <w:szCs w:val="18"/>
              </w:rPr>
              <w:t>%</w:t>
            </w:r>
          </w:p>
        </w:tc>
      </w:tr>
      <w:tr w:rsidR="004F336F" w:rsidRPr="001E47F8" w:rsidTr="001B3FB0">
        <w:trPr>
          <w:trHeight w:val="288"/>
          <w:jc w:val="center"/>
        </w:trPr>
        <w:tc>
          <w:tcPr>
            <w:tcW w:w="3150" w:type="dxa"/>
            <w:gridSpan w:val="2"/>
            <w:vAlign w:val="center"/>
          </w:tcPr>
          <w:p w:rsidR="004F336F" w:rsidRPr="002A72C0" w:rsidRDefault="004F336F" w:rsidP="004F336F">
            <w:pPr>
              <w:widowControl w:val="0"/>
              <w:overflowPunct w:val="0"/>
              <w:autoSpaceDE w:val="0"/>
              <w:autoSpaceDN w:val="0"/>
              <w:adjustRightInd w:val="0"/>
              <w:ind w:left="180"/>
              <w:rPr>
                <w:rFonts w:eastAsia="Times New Roman" w:cstheme="minorHAnsi"/>
                <w:b/>
                <w:bCs/>
                <w:color w:val="000000" w:themeColor="text1"/>
                <w:kern w:val="30"/>
                <w:sz w:val="18"/>
                <w:szCs w:val="18"/>
              </w:rPr>
            </w:pPr>
            <w:r>
              <w:rPr>
                <w:rFonts w:eastAsia="Times New Roman" w:cstheme="minorHAnsi"/>
                <w:b/>
                <w:bCs/>
                <w:color w:val="000000" w:themeColor="text1"/>
                <w:kern w:val="30"/>
                <w:sz w:val="18"/>
                <w:szCs w:val="18"/>
              </w:rPr>
              <w:t>S&amp;P 400</w:t>
            </w:r>
          </w:p>
        </w:tc>
        <w:tc>
          <w:tcPr>
            <w:tcW w:w="1260" w:type="dxa"/>
            <w:vAlign w:val="center"/>
          </w:tcPr>
          <w:p w:rsidR="004F336F" w:rsidRPr="002A72C0" w:rsidRDefault="00226C7E" w:rsidP="00515C52">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-4.89</w:t>
            </w:r>
            <w:r w:rsidR="000453A2">
              <w:rPr>
                <w:rFonts w:eastAsia="Times New Roman" w:cstheme="minorHAnsi"/>
                <w:bCs/>
                <w:color w:val="000000" w:themeColor="text1"/>
                <w:kern w:val="30"/>
                <w:sz w:val="18"/>
                <w:szCs w:val="18"/>
              </w:rPr>
              <w:t>%</w:t>
            </w:r>
          </w:p>
        </w:tc>
        <w:tc>
          <w:tcPr>
            <w:tcW w:w="1260" w:type="dxa"/>
            <w:vAlign w:val="center"/>
          </w:tcPr>
          <w:p w:rsidR="004F336F" w:rsidRPr="002A72C0" w:rsidRDefault="00226C7E" w:rsidP="00C7193A">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-4.89</w:t>
            </w:r>
            <w:r w:rsidR="004F336F" w:rsidRPr="002A72C0">
              <w:rPr>
                <w:rFonts w:eastAsia="Times New Roman" w:cstheme="minorHAnsi"/>
                <w:bCs/>
                <w:color w:val="000000" w:themeColor="text1"/>
                <w:kern w:val="30"/>
                <w:sz w:val="18"/>
                <w:szCs w:val="18"/>
              </w:rPr>
              <w:t>%</w:t>
            </w:r>
          </w:p>
        </w:tc>
        <w:tc>
          <w:tcPr>
            <w:tcW w:w="1260" w:type="dxa"/>
            <w:vAlign w:val="center"/>
          </w:tcPr>
          <w:p w:rsidR="004F336F" w:rsidRPr="002A72C0" w:rsidRDefault="00226C7E" w:rsidP="008458A4">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4.56</w:t>
            </w:r>
            <w:r w:rsidR="004F336F" w:rsidRPr="002A72C0">
              <w:rPr>
                <w:rFonts w:eastAsia="Times New Roman" w:cstheme="minorHAnsi"/>
                <w:bCs/>
                <w:color w:val="000000" w:themeColor="text1"/>
                <w:kern w:val="30"/>
                <w:sz w:val="18"/>
                <w:szCs w:val="18"/>
              </w:rPr>
              <w:t>%</w:t>
            </w:r>
          </w:p>
        </w:tc>
      </w:tr>
      <w:tr w:rsidR="004F336F" w:rsidRPr="001E47F8" w:rsidTr="001B3FB0">
        <w:trPr>
          <w:trHeight w:val="288"/>
          <w:jc w:val="center"/>
        </w:trPr>
        <w:tc>
          <w:tcPr>
            <w:tcW w:w="3150" w:type="dxa"/>
            <w:gridSpan w:val="2"/>
            <w:vAlign w:val="center"/>
          </w:tcPr>
          <w:p w:rsidR="004F336F" w:rsidRPr="002A72C0" w:rsidRDefault="004F336F" w:rsidP="004F336F">
            <w:pPr>
              <w:widowControl w:val="0"/>
              <w:overflowPunct w:val="0"/>
              <w:autoSpaceDE w:val="0"/>
              <w:autoSpaceDN w:val="0"/>
              <w:adjustRightInd w:val="0"/>
              <w:ind w:left="180"/>
              <w:rPr>
                <w:rFonts w:eastAsia="Times New Roman" w:cstheme="minorHAnsi"/>
                <w:b/>
                <w:bCs/>
                <w:color w:val="000000" w:themeColor="text1"/>
                <w:kern w:val="30"/>
                <w:sz w:val="18"/>
                <w:szCs w:val="18"/>
              </w:rPr>
            </w:pPr>
            <w:r>
              <w:rPr>
                <w:rFonts w:eastAsia="Times New Roman" w:cstheme="minorHAnsi"/>
                <w:b/>
                <w:bCs/>
                <w:color w:val="000000" w:themeColor="text1"/>
                <w:kern w:val="30"/>
                <w:sz w:val="18"/>
                <w:szCs w:val="18"/>
              </w:rPr>
              <w:t>S&amp;P 600</w:t>
            </w:r>
          </w:p>
        </w:tc>
        <w:tc>
          <w:tcPr>
            <w:tcW w:w="1260" w:type="dxa"/>
            <w:vAlign w:val="center"/>
          </w:tcPr>
          <w:p w:rsidR="004F336F" w:rsidRPr="002A72C0" w:rsidRDefault="00226C7E" w:rsidP="00173E7A">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-5.64</w:t>
            </w:r>
            <w:r w:rsidR="004F336F" w:rsidRPr="002A72C0">
              <w:rPr>
                <w:rFonts w:eastAsia="Times New Roman" w:cstheme="minorHAnsi"/>
                <w:bCs/>
                <w:color w:val="000000" w:themeColor="text1"/>
                <w:kern w:val="30"/>
                <w:sz w:val="18"/>
                <w:szCs w:val="18"/>
              </w:rPr>
              <w:t>%</w:t>
            </w:r>
          </w:p>
        </w:tc>
        <w:tc>
          <w:tcPr>
            <w:tcW w:w="1260" w:type="dxa"/>
            <w:vAlign w:val="center"/>
          </w:tcPr>
          <w:p w:rsidR="004F336F" w:rsidRPr="002A72C0" w:rsidRDefault="00226C7E" w:rsidP="008458A4">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-5.64</w:t>
            </w:r>
            <w:r w:rsidR="004F336F" w:rsidRPr="002A72C0">
              <w:rPr>
                <w:rFonts w:eastAsia="Times New Roman" w:cstheme="minorHAnsi"/>
                <w:bCs/>
                <w:color w:val="000000" w:themeColor="text1"/>
                <w:kern w:val="30"/>
                <w:sz w:val="18"/>
                <w:szCs w:val="18"/>
              </w:rPr>
              <w:t>%</w:t>
            </w:r>
          </w:p>
        </w:tc>
        <w:tc>
          <w:tcPr>
            <w:tcW w:w="1260" w:type="dxa"/>
            <w:vAlign w:val="center"/>
          </w:tcPr>
          <w:p w:rsidR="004F336F" w:rsidRPr="002A72C0" w:rsidRDefault="00226C7E" w:rsidP="008458A4">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1.15</w:t>
            </w:r>
            <w:r w:rsidR="00C7193A">
              <w:rPr>
                <w:rFonts w:eastAsia="Times New Roman" w:cstheme="minorHAnsi"/>
                <w:bCs/>
                <w:color w:val="000000" w:themeColor="text1"/>
                <w:kern w:val="30"/>
                <w:sz w:val="18"/>
                <w:szCs w:val="18"/>
              </w:rPr>
              <w:t>%</w:t>
            </w:r>
          </w:p>
        </w:tc>
      </w:tr>
      <w:tr w:rsidR="004F336F" w:rsidRPr="001E47F8" w:rsidTr="001B3FB0">
        <w:trPr>
          <w:trHeight w:val="288"/>
          <w:jc w:val="center"/>
        </w:trPr>
        <w:tc>
          <w:tcPr>
            <w:tcW w:w="3150" w:type="dxa"/>
            <w:gridSpan w:val="2"/>
            <w:vAlign w:val="center"/>
          </w:tcPr>
          <w:p w:rsidR="004F336F" w:rsidRPr="002A72C0" w:rsidRDefault="004F336F" w:rsidP="004F336F">
            <w:pPr>
              <w:widowControl w:val="0"/>
              <w:overflowPunct w:val="0"/>
              <w:autoSpaceDE w:val="0"/>
              <w:autoSpaceDN w:val="0"/>
              <w:adjustRightInd w:val="0"/>
              <w:ind w:left="180"/>
              <w:rPr>
                <w:rFonts w:eastAsia="Times New Roman" w:cstheme="minorHAnsi"/>
                <w:b/>
                <w:bCs/>
                <w:color w:val="000000" w:themeColor="text1"/>
                <w:kern w:val="30"/>
                <w:sz w:val="18"/>
                <w:szCs w:val="18"/>
              </w:rPr>
            </w:pPr>
            <w:r w:rsidRPr="002A72C0">
              <w:rPr>
                <w:rFonts w:eastAsia="Times New Roman" w:cstheme="minorHAnsi"/>
                <w:b/>
                <w:bCs/>
                <w:color w:val="000000" w:themeColor="text1"/>
                <w:kern w:val="30"/>
                <w:sz w:val="18"/>
                <w:szCs w:val="18"/>
              </w:rPr>
              <w:t>MSCI EAFE</w:t>
            </w:r>
          </w:p>
        </w:tc>
        <w:tc>
          <w:tcPr>
            <w:tcW w:w="1260" w:type="dxa"/>
            <w:vAlign w:val="center"/>
          </w:tcPr>
          <w:p w:rsidR="004F336F" w:rsidRPr="002A72C0" w:rsidRDefault="00226C7E" w:rsidP="00C7193A">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-5.77</w:t>
            </w:r>
            <w:r w:rsidR="004F336F" w:rsidRPr="002A72C0">
              <w:rPr>
                <w:rFonts w:eastAsia="Times New Roman" w:cstheme="minorHAnsi"/>
                <w:bCs/>
                <w:color w:val="000000" w:themeColor="text1"/>
                <w:kern w:val="30"/>
                <w:sz w:val="18"/>
                <w:szCs w:val="18"/>
              </w:rPr>
              <w:t>%</w:t>
            </w:r>
          </w:p>
        </w:tc>
        <w:tc>
          <w:tcPr>
            <w:tcW w:w="1260" w:type="dxa"/>
            <w:vAlign w:val="center"/>
          </w:tcPr>
          <w:p w:rsidR="004F336F" w:rsidRPr="002A72C0" w:rsidRDefault="00226C7E" w:rsidP="008458A4">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-5.77</w:t>
            </w:r>
            <w:r w:rsidR="00D932B8">
              <w:rPr>
                <w:rFonts w:eastAsia="Times New Roman" w:cstheme="minorHAnsi"/>
                <w:bCs/>
                <w:color w:val="000000" w:themeColor="text1"/>
                <w:kern w:val="30"/>
                <w:sz w:val="18"/>
                <w:szCs w:val="18"/>
              </w:rPr>
              <w:t>%</w:t>
            </w:r>
          </w:p>
        </w:tc>
        <w:tc>
          <w:tcPr>
            <w:tcW w:w="1260" w:type="dxa"/>
            <w:vAlign w:val="center"/>
          </w:tcPr>
          <w:p w:rsidR="004F336F" w:rsidRPr="002A72C0" w:rsidRDefault="00226C7E" w:rsidP="008458A4">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1.70</w:t>
            </w:r>
            <w:r w:rsidR="004F336F" w:rsidRPr="002A72C0">
              <w:rPr>
                <w:rFonts w:eastAsia="Times New Roman" w:cstheme="minorHAnsi"/>
                <w:bCs/>
                <w:color w:val="000000" w:themeColor="text1"/>
                <w:kern w:val="30"/>
                <w:sz w:val="18"/>
                <w:szCs w:val="18"/>
              </w:rPr>
              <w:t>%</w:t>
            </w:r>
          </w:p>
        </w:tc>
      </w:tr>
      <w:tr w:rsidR="004F336F" w:rsidRPr="001E47F8" w:rsidTr="001B3FB0">
        <w:trPr>
          <w:trHeight w:val="288"/>
          <w:jc w:val="center"/>
        </w:trPr>
        <w:tc>
          <w:tcPr>
            <w:tcW w:w="3150" w:type="dxa"/>
            <w:gridSpan w:val="2"/>
            <w:vAlign w:val="center"/>
          </w:tcPr>
          <w:p w:rsidR="004F336F" w:rsidRPr="002A72C0" w:rsidRDefault="004F336F" w:rsidP="004F336F">
            <w:pPr>
              <w:widowControl w:val="0"/>
              <w:overflowPunct w:val="0"/>
              <w:autoSpaceDE w:val="0"/>
              <w:autoSpaceDN w:val="0"/>
              <w:adjustRightInd w:val="0"/>
              <w:ind w:left="180"/>
              <w:rPr>
                <w:rFonts w:eastAsia="Times New Roman" w:cstheme="minorHAnsi"/>
                <w:b/>
                <w:bCs/>
                <w:color w:val="000000" w:themeColor="text1"/>
                <w:kern w:val="30"/>
                <w:sz w:val="18"/>
                <w:szCs w:val="18"/>
              </w:rPr>
            </w:pPr>
            <w:r w:rsidRPr="002A72C0">
              <w:rPr>
                <w:rFonts w:eastAsia="Times New Roman" w:cstheme="minorHAnsi"/>
                <w:b/>
                <w:bCs/>
                <w:color w:val="000000" w:themeColor="text1"/>
                <w:kern w:val="30"/>
                <w:sz w:val="18"/>
                <w:szCs w:val="18"/>
              </w:rPr>
              <w:t>MSCI Emerging Markets</w:t>
            </w:r>
          </w:p>
        </w:tc>
        <w:tc>
          <w:tcPr>
            <w:tcW w:w="1260" w:type="dxa"/>
            <w:vAlign w:val="center"/>
          </w:tcPr>
          <w:p w:rsidR="004F336F" w:rsidRPr="002A72C0" w:rsidRDefault="005E34CB" w:rsidP="00226C7E">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w:t>
            </w:r>
            <w:r w:rsidR="00226C7E">
              <w:rPr>
                <w:rFonts w:eastAsia="Times New Roman" w:cstheme="minorHAnsi"/>
                <w:bCs/>
                <w:color w:val="000000" w:themeColor="text1"/>
                <w:kern w:val="30"/>
                <w:sz w:val="18"/>
                <w:szCs w:val="18"/>
              </w:rPr>
              <w:t>6.99</w:t>
            </w:r>
            <w:r w:rsidR="004F336F" w:rsidRPr="002A72C0">
              <w:rPr>
                <w:rFonts w:eastAsia="Times New Roman" w:cstheme="minorHAnsi"/>
                <w:bCs/>
                <w:color w:val="000000" w:themeColor="text1"/>
                <w:kern w:val="30"/>
                <w:sz w:val="18"/>
                <w:szCs w:val="18"/>
              </w:rPr>
              <w:t>%</w:t>
            </w:r>
          </w:p>
        </w:tc>
        <w:tc>
          <w:tcPr>
            <w:tcW w:w="1260" w:type="dxa"/>
            <w:vAlign w:val="center"/>
          </w:tcPr>
          <w:p w:rsidR="004F336F" w:rsidRPr="002A72C0" w:rsidRDefault="00540F50" w:rsidP="00226C7E">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w:t>
            </w:r>
            <w:r w:rsidR="00226C7E">
              <w:rPr>
                <w:rFonts w:eastAsia="Times New Roman" w:cstheme="minorHAnsi"/>
                <w:bCs/>
                <w:color w:val="000000" w:themeColor="text1"/>
                <w:kern w:val="30"/>
                <w:sz w:val="18"/>
                <w:szCs w:val="18"/>
              </w:rPr>
              <w:t>6.99</w:t>
            </w:r>
            <w:r w:rsidR="004F336F" w:rsidRPr="002A72C0">
              <w:rPr>
                <w:rFonts w:eastAsia="Times New Roman" w:cstheme="minorHAnsi"/>
                <w:bCs/>
                <w:color w:val="000000" w:themeColor="text1"/>
                <w:kern w:val="30"/>
                <w:sz w:val="18"/>
                <w:szCs w:val="18"/>
              </w:rPr>
              <w:t>%</w:t>
            </w:r>
          </w:p>
        </w:tc>
        <w:tc>
          <w:tcPr>
            <w:tcW w:w="1260" w:type="dxa"/>
            <w:vAlign w:val="center"/>
          </w:tcPr>
          <w:p w:rsidR="004F336F" w:rsidRPr="002A72C0" w:rsidRDefault="00226C7E" w:rsidP="00215FC8">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-11.13</w:t>
            </w:r>
            <w:r w:rsidR="004F336F" w:rsidRPr="002A72C0">
              <w:rPr>
                <w:rFonts w:eastAsia="Times New Roman" w:cstheme="minorHAnsi"/>
                <w:bCs/>
                <w:color w:val="000000" w:themeColor="text1"/>
                <w:kern w:val="30"/>
                <w:sz w:val="18"/>
                <w:szCs w:val="18"/>
              </w:rPr>
              <w:t>%</w:t>
            </w:r>
          </w:p>
        </w:tc>
      </w:tr>
      <w:tr w:rsidR="004F336F" w:rsidRPr="001E47F8" w:rsidTr="001B3FB0">
        <w:trPr>
          <w:trHeight w:val="288"/>
          <w:jc w:val="center"/>
        </w:trPr>
        <w:tc>
          <w:tcPr>
            <w:tcW w:w="3150" w:type="dxa"/>
            <w:gridSpan w:val="2"/>
            <w:vAlign w:val="center"/>
          </w:tcPr>
          <w:p w:rsidR="004F336F" w:rsidRPr="002A72C0" w:rsidRDefault="004F336F" w:rsidP="004F336F">
            <w:pPr>
              <w:widowControl w:val="0"/>
              <w:overflowPunct w:val="0"/>
              <w:autoSpaceDE w:val="0"/>
              <w:autoSpaceDN w:val="0"/>
              <w:adjustRightInd w:val="0"/>
              <w:ind w:left="180"/>
              <w:rPr>
                <w:rFonts w:eastAsia="Times New Roman" w:cstheme="minorHAnsi"/>
                <w:b/>
                <w:bCs/>
                <w:color w:val="000000" w:themeColor="text1"/>
                <w:kern w:val="30"/>
                <w:sz w:val="18"/>
                <w:szCs w:val="18"/>
              </w:rPr>
            </w:pPr>
            <w:r w:rsidRPr="002A72C0">
              <w:rPr>
                <w:rFonts w:eastAsia="Times New Roman" w:cstheme="minorHAnsi"/>
                <w:b/>
                <w:bCs/>
                <w:color w:val="000000" w:themeColor="text1"/>
                <w:kern w:val="30"/>
                <w:sz w:val="18"/>
                <w:szCs w:val="18"/>
              </w:rPr>
              <w:t>MSCI ACWI</w:t>
            </w:r>
          </w:p>
        </w:tc>
        <w:tc>
          <w:tcPr>
            <w:tcW w:w="1260" w:type="dxa"/>
            <w:vAlign w:val="center"/>
          </w:tcPr>
          <w:p w:rsidR="004F336F" w:rsidRPr="002A72C0" w:rsidRDefault="00226C7E" w:rsidP="00C7193A">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-5.26</w:t>
            </w:r>
            <w:r w:rsidR="000453A2">
              <w:rPr>
                <w:rFonts w:eastAsia="Times New Roman" w:cstheme="minorHAnsi"/>
                <w:bCs/>
                <w:color w:val="000000" w:themeColor="text1"/>
                <w:kern w:val="30"/>
                <w:sz w:val="18"/>
                <w:szCs w:val="18"/>
              </w:rPr>
              <w:t>%</w:t>
            </w:r>
          </w:p>
        </w:tc>
        <w:tc>
          <w:tcPr>
            <w:tcW w:w="1260" w:type="dxa"/>
            <w:vAlign w:val="center"/>
          </w:tcPr>
          <w:p w:rsidR="004F336F" w:rsidRPr="002A72C0" w:rsidRDefault="00226C7E" w:rsidP="008458A4">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-5.26</w:t>
            </w:r>
            <w:r w:rsidR="004F336F" w:rsidRPr="002A72C0">
              <w:rPr>
                <w:rFonts w:eastAsia="Times New Roman" w:cstheme="minorHAnsi"/>
                <w:bCs/>
                <w:color w:val="000000" w:themeColor="text1"/>
                <w:kern w:val="30"/>
                <w:sz w:val="18"/>
                <w:szCs w:val="18"/>
              </w:rPr>
              <w:t>%</w:t>
            </w:r>
          </w:p>
        </w:tc>
        <w:tc>
          <w:tcPr>
            <w:tcW w:w="1260" w:type="dxa"/>
            <w:vAlign w:val="center"/>
          </w:tcPr>
          <w:p w:rsidR="004F336F" w:rsidRPr="002A72C0" w:rsidRDefault="00226C7E" w:rsidP="004F336F">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7.74</w:t>
            </w:r>
            <w:r w:rsidR="004F336F" w:rsidRPr="002A72C0">
              <w:rPr>
                <w:rFonts w:eastAsia="Times New Roman" w:cstheme="minorHAnsi"/>
                <w:bCs/>
                <w:color w:val="000000" w:themeColor="text1"/>
                <w:kern w:val="30"/>
                <w:sz w:val="18"/>
                <w:szCs w:val="18"/>
              </w:rPr>
              <w:t>%</w:t>
            </w:r>
          </w:p>
        </w:tc>
      </w:tr>
      <w:tr w:rsidR="004F336F" w:rsidRPr="001E47F8" w:rsidTr="001B3FB0">
        <w:trPr>
          <w:trHeight w:val="288"/>
          <w:jc w:val="center"/>
        </w:trPr>
        <w:tc>
          <w:tcPr>
            <w:tcW w:w="3150" w:type="dxa"/>
            <w:gridSpan w:val="2"/>
            <w:vAlign w:val="center"/>
          </w:tcPr>
          <w:p w:rsidR="004F336F" w:rsidRPr="002A72C0" w:rsidRDefault="001B3FB0" w:rsidP="004F336F">
            <w:pPr>
              <w:widowControl w:val="0"/>
              <w:overflowPunct w:val="0"/>
              <w:autoSpaceDE w:val="0"/>
              <w:autoSpaceDN w:val="0"/>
              <w:adjustRightInd w:val="0"/>
              <w:ind w:left="180"/>
              <w:rPr>
                <w:rFonts w:eastAsia="Times New Roman" w:cstheme="minorHAnsi"/>
                <w:b/>
                <w:bCs/>
                <w:color w:val="000000" w:themeColor="text1"/>
                <w:kern w:val="30"/>
                <w:sz w:val="18"/>
                <w:szCs w:val="18"/>
              </w:rPr>
            </w:pPr>
            <w:r>
              <w:rPr>
                <w:rFonts w:eastAsia="Times New Roman" w:cstheme="minorHAnsi"/>
                <w:b/>
                <w:bCs/>
                <w:color w:val="000000" w:themeColor="text1"/>
                <w:kern w:val="30"/>
                <w:sz w:val="18"/>
                <w:szCs w:val="18"/>
              </w:rPr>
              <w:t xml:space="preserve">Bloomberg </w:t>
            </w:r>
            <w:r w:rsidR="004F336F" w:rsidRPr="002A72C0">
              <w:rPr>
                <w:rFonts w:eastAsia="Times New Roman" w:cstheme="minorHAnsi"/>
                <w:b/>
                <w:bCs/>
                <w:color w:val="000000" w:themeColor="text1"/>
                <w:kern w:val="30"/>
                <w:sz w:val="18"/>
                <w:szCs w:val="18"/>
              </w:rPr>
              <w:t>Barclays Int. Gov’t/Credit</w:t>
            </w:r>
          </w:p>
        </w:tc>
        <w:tc>
          <w:tcPr>
            <w:tcW w:w="1260" w:type="dxa"/>
            <w:vAlign w:val="center"/>
          </w:tcPr>
          <w:p w:rsidR="004F336F" w:rsidRPr="002A72C0" w:rsidRDefault="00226C7E" w:rsidP="00226C7E">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-4.51</w:t>
            </w:r>
            <w:r w:rsidR="004F336F" w:rsidRPr="002A72C0">
              <w:rPr>
                <w:rFonts w:eastAsia="Times New Roman" w:cstheme="minorHAnsi"/>
                <w:bCs/>
                <w:color w:val="000000" w:themeColor="text1"/>
                <w:kern w:val="30"/>
                <w:sz w:val="18"/>
                <w:szCs w:val="18"/>
              </w:rPr>
              <w:t>%</w:t>
            </w:r>
          </w:p>
        </w:tc>
        <w:tc>
          <w:tcPr>
            <w:tcW w:w="1260" w:type="dxa"/>
            <w:vAlign w:val="center"/>
          </w:tcPr>
          <w:p w:rsidR="004F336F" w:rsidRPr="002A72C0" w:rsidRDefault="00C7193A" w:rsidP="00226C7E">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w:t>
            </w:r>
            <w:r w:rsidR="00226C7E">
              <w:rPr>
                <w:rFonts w:eastAsia="Times New Roman" w:cstheme="minorHAnsi"/>
                <w:bCs/>
                <w:color w:val="000000" w:themeColor="text1"/>
                <w:kern w:val="30"/>
                <w:sz w:val="18"/>
                <w:szCs w:val="18"/>
              </w:rPr>
              <w:t>-4.51</w:t>
            </w:r>
            <w:r w:rsidR="002C2B42">
              <w:rPr>
                <w:rFonts w:eastAsia="Times New Roman" w:cstheme="minorHAnsi"/>
                <w:bCs/>
                <w:color w:val="000000" w:themeColor="text1"/>
                <w:kern w:val="30"/>
                <w:sz w:val="18"/>
                <w:szCs w:val="18"/>
              </w:rPr>
              <w:t>%</w:t>
            </w:r>
          </w:p>
        </w:tc>
        <w:tc>
          <w:tcPr>
            <w:tcW w:w="1260" w:type="dxa"/>
            <w:vAlign w:val="center"/>
          </w:tcPr>
          <w:p w:rsidR="004F336F" w:rsidRPr="002A72C0" w:rsidRDefault="00C7193A" w:rsidP="00226C7E">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w:t>
            </w:r>
            <w:r w:rsidR="00226C7E">
              <w:rPr>
                <w:rFonts w:eastAsia="Times New Roman" w:cstheme="minorHAnsi"/>
                <w:bCs/>
                <w:color w:val="000000" w:themeColor="text1"/>
                <w:kern w:val="30"/>
                <w:sz w:val="18"/>
                <w:szCs w:val="18"/>
              </w:rPr>
              <w:t>4.10</w:t>
            </w:r>
            <w:r w:rsidR="004F336F" w:rsidRPr="002A72C0">
              <w:rPr>
                <w:rFonts w:eastAsia="Times New Roman" w:cstheme="minorHAnsi"/>
                <w:bCs/>
                <w:color w:val="000000" w:themeColor="text1"/>
                <w:kern w:val="30"/>
                <w:sz w:val="18"/>
                <w:szCs w:val="18"/>
              </w:rPr>
              <w:t>%</w:t>
            </w:r>
          </w:p>
        </w:tc>
      </w:tr>
      <w:tr w:rsidR="001B3FB0" w:rsidRPr="001E47F8" w:rsidTr="001B3FB0">
        <w:trPr>
          <w:trHeight w:val="288"/>
          <w:jc w:val="center"/>
        </w:trPr>
        <w:tc>
          <w:tcPr>
            <w:tcW w:w="3150" w:type="dxa"/>
            <w:gridSpan w:val="2"/>
            <w:vAlign w:val="center"/>
          </w:tcPr>
          <w:p w:rsidR="001B3FB0" w:rsidRDefault="001B3FB0" w:rsidP="004F336F">
            <w:pPr>
              <w:widowControl w:val="0"/>
              <w:overflowPunct w:val="0"/>
              <w:autoSpaceDE w:val="0"/>
              <w:autoSpaceDN w:val="0"/>
              <w:adjustRightInd w:val="0"/>
              <w:ind w:left="180"/>
              <w:rPr>
                <w:rFonts w:eastAsia="Times New Roman" w:cstheme="minorHAnsi"/>
                <w:b/>
                <w:bCs/>
                <w:color w:val="000000" w:themeColor="text1"/>
                <w:kern w:val="30"/>
                <w:sz w:val="18"/>
                <w:szCs w:val="18"/>
              </w:rPr>
            </w:pPr>
            <w:r>
              <w:rPr>
                <w:rFonts w:eastAsia="Times New Roman" w:cstheme="minorHAnsi"/>
                <w:b/>
                <w:bCs/>
                <w:color w:val="000000" w:themeColor="text1"/>
                <w:kern w:val="30"/>
                <w:sz w:val="18"/>
                <w:szCs w:val="18"/>
              </w:rPr>
              <w:t>Bloomberg Barclays Aggregate Bond</w:t>
            </w:r>
          </w:p>
        </w:tc>
        <w:tc>
          <w:tcPr>
            <w:tcW w:w="1260" w:type="dxa"/>
            <w:vAlign w:val="center"/>
          </w:tcPr>
          <w:p w:rsidR="001B3FB0" w:rsidRDefault="00226C7E" w:rsidP="002440B5">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w:t>
            </w:r>
            <w:r w:rsidR="006C5E92">
              <w:rPr>
                <w:rFonts w:eastAsia="Times New Roman" w:cstheme="minorHAnsi"/>
                <w:bCs/>
                <w:color w:val="000000" w:themeColor="text1"/>
                <w:kern w:val="30"/>
                <w:sz w:val="18"/>
                <w:szCs w:val="18"/>
              </w:rPr>
              <w:t>5</w:t>
            </w:r>
            <w:r>
              <w:rPr>
                <w:rFonts w:eastAsia="Times New Roman" w:cstheme="minorHAnsi"/>
                <w:bCs/>
                <w:color w:val="000000" w:themeColor="text1"/>
                <w:kern w:val="30"/>
                <w:sz w:val="18"/>
                <w:szCs w:val="18"/>
              </w:rPr>
              <w:t>.</w:t>
            </w:r>
            <w:r w:rsidR="002440B5">
              <w:rPr>
                <w:rFonts w:eastAsia="Times New Roman" w:cstheme="minorHAnsi"/>
                <w:bCs/>
                <w:color w:val="000000" w:themeColor="text1"/>
                <w:kern w:val="30"/>
                <w:sz w:val="18"/>
                <w:szCs w:val="18"/>
              </w:rPr>
              <w:t>93</w:t>
            </w:r>
            <w:r w:rsidR="001B3FB0">
              <w:rPr>
                <w:rFonts w:eastAsia="Times New Roman" w:cstheme="minorHAnsi"/>
                <w:bCs/>
                <w:color w:val="000000" w:themeColor="text1"/>
                <w:kern w:val="30"/>
                <w:sz w:val="18"/>
                <w:szCs w:val="18"/>
              </w:rPr>
              <w:t>%</w:t>
            </w:r>
          </w:p>
        </w:tc>
        <w:tc>
          <w:tcPr>
            <w:tcW w:w="1260" w:type="dxa"/>
            <w:vAlign w:val="center"/>
          </w:tcPr>
          <w:p w:rsidR="001B3FB0" w:rsidRPr="002A72C0" w:rsidRDefault="00C7193A" w:rsidP="002440B5">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w:t>
            </w:r>
            <w:r w:rsidR="002440B5">
              <w:rPr>
                <w:rFonts w:eastAsia="Times New Roman" w:cstheme="minorHAnsi"/>
                <w:bCs/>
                <w:color w:val="000000" w:themeColor="text1"/>
                <w:kern w:val="30"/>
                <w:sz w:val="18"/>
                <w:szCs w:val="18"/>
              </w:rPr>
              <w:t>5</w:t>
            </w:r>
            <w:r w:rsidR="00226C7E">
              <w:rPr>
                <w:rFonts w:eastAsia="Times New Roman" w:cstheme="minorHAnsi"/>
                <w:bCs/>
                <w:color w:val="000000" w:themeColor="text1"/>
                <w:kern w:val="30"/>
                <w:sz w:val="18"/>
                <w:szCs w:val="18"/>
              </w:rPr>
              <w:t>.</w:t>
            </w:r>
            <w:r w:rsidR="002440B5">
              <w:rPr>
                <w:rFonts w:eastAsia="Times New Roman" w:cstheme="minorHAnsi"/>
                <w:bCs/>
                <w:color w:val="000000" w:themeColor="text1"/>
                <w:kern w:val="30"/>
                <w:sz w:val="18"/>
                <w:szCs w:val="18"/>
              </w:rPr>
              <w:t>93</w:t>
            </w:r>
            <w:r w:rsidR="001B3FB0">
              <w:rPr>
                <w:rFonts w:eastAsia="Times New Roman" w:cstheme="minorHAnsi"/>
                <w:bCs/>
                <w:color w:val="000000" w:themeColor="text1"/>
                <w:kern w:val="30"/>
                <w:sz w:val="18"/>
                <w:szCs w:val="18"/>
              </w:rPr>
              <w:t>%</w:t>
            </w:r>
          </w:p>
        </w:tc>
        <w:tc>
          <w:tcPr>
            <w:tcW w:w="1260" w:type="dxa"/>
            <w:vAlign w:val="center"/>
          </w:tcPr>
          <w:p w:rsidR="001B3FB0" w:rsidRPr="002A72C0" w:rsidRDefault="00C7193A" w:rsidP="002440B5">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w:t>
            </w:r>
            <w:r w:rsidR="002440B5">
              <w:rPr>
                <w:rFonts w:eastAsia="Times New Roman" w:cstheme="minorHAnsi"/>
                <w:bCs/>
                <w:color w:val="000000" w:themeColor="text1"/>
                <w:kern w:val="30"/>
                <w:sz w:val="18"/>
                <w:szCs w:val="18"/>
              </w:rPr>
              <w:t>4</w:t>
            </w:r>
            <w:r w:rsidR="00226C7E">
              <w:rPr>
                <w:rFonts w:eastAsia="Times New Roman" w:cstheme="minorHAnsi"/>
                <w:bCs/>
                <w:color w:val="000000" w:themeColor="text1"/>
                <w:kern w:val="30"/>
                <w:sz w:val="18"/>
                <w:szCs w:val="18"/>
              </w:rPr>
              <w:t>.</w:t>
            </w:r>
            <w:r w:rsidR="002440B5">
              <w:rPr>
                <w:rFonts w:eastAsia="Times New Roman" w:cstheme="minorHAnsi"/>
                <w:bCs/>
                <w:color w:val="000000" w:themeColor="text1"/>
                <w:kern w:val="30"/>
                <w:sz w:val="18"/>
                <w:szCs w:val="18"/>
              </w:rPr>
              <w:t>15</w:t>
            </w:r>
            <w:r w:rsidR="001B3FB0">
              <w:rPr>
                <w:rFonts w:eastAsia="Times New Roman" w:cstheme="minorHAnsi"/>
                <w:bCs/>
                <w:color w:val="000000" w:themeColor="text1"/>
                <w:kern w:val="30"/>
                <w:sz w:val="18"/>
                <w:szCs w:val="18"/>
              </w:rPr>
              <w:t>%</w:t>
            </w:r>
          </w:p>
        </w:tc>
      </w:tr>
      <w:tr w:rsidR="004F336F" w:rsidRPr="001E47F8" w:rsidTr="001B3FB0">
        <w:trPr>
          <w:trHeight w:val="288"/>
          <w:jc w:val="center"/>
        </w:trPr>
        <w:tc>
          <w:tcPr>
            <w:tcW w:w="3150" w:type="dxa"/>
            <w:gridSpan w:val="2"/>
            <w:tcBorders>
              <w:bottom w:val="single" w:sz="4" w:space="0" w:color="auto"/>
            </w:tcBorders>
            <w:vAlign w:val="center"/>
          </w:tcPr>
          <w:p w:rsidR="004F336F" w:rsidRPr="002A72C0" w:rsidRDefault="004F336F" w:rsidP="004F336F">
            <w:pPr>
              <w:widowControl w:val="0"/>
              <w:overflowPunct w:val="0"/>
              <w:autoSpaceDE w:val="0"/>
              <w:autoSpaceDN w:val="0"/>
              <w:adjustRightInd w:val="0"/>
              <w:ind w:left="180"/>
              <w:rPr>
                <w:rFonts w:eastAsia="Times New Roman" w:cstheme="minorHAnsi"/>
                <w:b/>
                <w:bCs/>
                <w:color w:val="000000" w:themeColor="text1"/>
                <w:kern w:val="30"/>
                <w:sz w:val="18"/>
                <w:szCs w:val="18"/>
              </w:rPr>
            </w:pPr>
            <w:r w:rsidRPr="002A72C0">
              <w:rPr>
                <w:rFonts w:eastAsia="Times New Roman" w:cstheme="minorHAnsi"/>
                <w:b/>
                <w:bCs/>
                <w:color w:val="000000" w:themeColor="text1"/>
                <w:kern w:val="30"/>
                <w:sz w:val="18"/>
                <w:szCs w:val="18"/>
              </w:rPr>
              <w:t>Barclays 5-Year Municipal</w:t>
            </w:r>
          </w:p>
        </w:tc>
        <w:tc>
          <w:tcPr>
            <w:tcW w:w="1260" w:type="dxa"/>
            <w:tcBorders>
              <w:bottom w:val="single" w:sz="4" w:space="0" w:color="auto"/>
            </w:tcBorders>
            <w:vAlign w:val="center"/>
          </w:tcPr>
          <w:p w:rsidR="004F336F" w:rsidRPr="002A72C0" w:rsidRDefault="00226C7E" w:rsidP="00431007">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-5.10</w:t>
            </w:r>
            <w:r w:rsidR="004F336F" w:rsidRPr="002A72C0">
              <w:rPr>
                <w:rFonts w:eastAsia="Times New Roman" w:cstheme="minorHAnsi"/>
                <w:bCs/>
                <w:color w:val="000000" w:themeColor="text1"/>
                <w:kern w:val="30"/>
                <w:sz w:val="18"/>
                <w:szCs w:val="18"/>
              </w:rPr>
              <w:t>%</w:t>
            </w:r>
          </w:p>
        </w:tc>
        <w:tc>
          <w:tcPr>
            <w:tcW w:w="1260" w:type="dxa"/>
            <w:tcBorders>
              <w:bottom w:val="single" w:sz="4" w:space="0" w:color="auto"/>
            </w:tcBorders>
            <w:vAlign w:val="center"/>
          </w:tcPr>
          <w:p w:rsidR="004F336F" w:rsidRPr="002A72C0" w:rsidRDefault="00226C7E" w:rsidP="00515C52">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-5.10</w:t>
            </w:r>
            <w:r w:rsidR="004F336F" w:rsidRPr="002A72C0">
              <w:rPr>
                <w:rFonts w:eastAsia="Times New Roman" w:cstheme="minorHAnsi"/>
                <w:bCs/>
                <w:color w:val="000000" w:themeColor="text1"/>
                <w:kern w:val="30"/>
                <w:sz w:val="18"/>
                <w:szCs w:val="18"/>
              </w:rPr>
              <w:t>%</w:t>
            </w:r>
          </w:p>
        </w:tc>
        <w:tc>
          <w:tcPr>
            <w:tcW w:w="1260" w:type="dxa"/>
            <w:tcBorders>
              <w:bottom w:val="single" w:sz="4" w:space="0" w:color="auto"/>
            </w:tcBorders>
            <w:vAlign w:val="center"/>
          </w:tcPr>
          <w:p w:rsidR="004F336F" w:rsidRPr="002A72C0" w:rsidRDefault="00226C7E" w:rsidP="004838ED">
            <w:pPr>
              <w:widowControl w:val="0"/>
              <w:overflowPunct w:val="0"/>
              <w:autoSpaceDE w:val="0"/>
              <w:autoSpaceDN w:val="0"/>
              <w:adjustRightInd w:val="0"/>
              <w:ind w:right="162"/>
              <w:jc w:val="center"/>
              <w:rPr>
                <w:rFonts w:eastAsia="Times New Roman" w:cstheme="minorHAnsi"/>
                <w:bCs/>
                <w:color w:val="000000" w:themeColor="text1"/>
                <w:kern w:val="30"/>
                <w:sz w:val="18"/>
                <w:szCs w:val="18"/>
              </w:rPr>
            </w:pPr>
            <w:r>
              <w:rPr>
                <w:rFonts w:eastAsia="Times New Roman" w:cstheme="minorHAnsi"/>
                <w:bCs/>
                <w:color w:val="000000" w:themeColor="text1"/>
                <w:kern w:val="30"/>
                <w:sz w:val="18"/>
                <w:szCs w:val="18"/>
              </w:rPr>
              <w:t>-4.48</w:t>
            </w:r>
            <w:r w:rsidR="004F336F" w:rsidRPr="002A72C0">
              <w:rPr>
                <w:rFonts w:eastAsia="Times New Roman" w:cstheme="minorHAnsi"/>
                <w:bCs/>
                <w:color w:val="000000" w:themeColor="text1"/>
                <w:kern w:val="30"/>
                <w:sz w:val="18"/>
                <w:szCs w:val="18"/>
              </w:rPr>
              <w:t>%</w:t>
            </w:r>
          </w:p>
        </w:tc>
      </w:tr>
      <w:tr w:rsidR="004B38C3" w:rsidRPr="004B38C3" w:rsidTr="001B3FB0">
        <w:trPr>
          <w:trHeight w:val="288"/>
          <w:jc w:val="center"/>
        </w:trPr>
        <w:tc>
          <w:tcPr>
            <w:tcW w:w="6930" w:type="dxa"/>
            <w:gridSpan w:val="5"/>
            <w:tcBorders>
              <w:top w:val="single" w:sz="4" w:space="0" w:color="auto"/>
              <w:bottom w:val="single" w:sz="4" w:space="0" w:color="auto"/>
            </w:tcBorders>
          </w:tcPr>
          <w:p w:rsidR="00FB4E86" w:rsidRPr="00226C7E" w:rsidRDefault="00226C7E" w:rsidP="00226C7E">
            <w:pPr>
              <w:pStyle w:val="ListParagraph"/>
              <w:numPr>
                <w:ilvl w:val="0"/>
                <w:numId w:val="2"/>
              </w:numPr>
              <w:spacing w:before="120"/>
              <w:rPr>
                <w:rFonts w:cstheme="minorHAnsi"/>
                <w:color w:val="000000" w:themeColor="text1"/>
                <w:sz w:val="16"/>
                <w:szCs w:val="16"/>
              </w:rPr>
            </w:pPr>
            <w:r>
              <w:rPr>
                <w:rFonts w:cstheme="minorHAnsi"/>
                <w:color w:val="000000" w:themeColor="text1"/>
                <w:sz w:val="16"/>
                <w:szCs w:val="16"/>
              </w:rPr>
              <w:t>12</w:t>
            </w:r>
            <w:r w:rsidR="00515C52">
              <w:rPr>
                <w:rFonts w:cstheme="minorHAnsi"/>
                <w:color w:val="000000" w:themeColor="text1"/>
                <w:sz w:val="16"/>
                <w:szCs w:val="16"/>
              </w:rPr>
              <w:t>/</w:t>
            </w:r>
            <w:r w:rsidR="00FB4E86" w:rsidRPr="002A72C0">
              <w:rPr>
                <w:rFonts w:cstheme="minorHAnsi"/>
                <w:color w:val="000000" w:themeColor="text1"/>
                <w:sz w:val="16"/>
                <w:szCs w:val="16"/>
              </w:rPr>
              <w:t>3</w:t>
            </w:r>
            <w:r>
              <w:rPr>
                <w:rFonts w:cstheme="minorHAnsi"/>
                <w:color w:val="000000" w:themeColor="text1"/>
                <w:sz w:val="16"/>
                <w:szCs w:val="16"/>
              </w:rPr>
              <w:t>1</w:t>
            </w:r>
            <w:r w:rsidR="00FB4E86" w:rsidRPr="002A72C0">
              <w:rPr>
                <w:rFonts w:cstheme="minorHAnsi"/>
                <w:color w:val="000000" w:themeColor="text1"/>
                <w:sz w:val="16"/>
                <w:szCs w:val="16"/>
              </w:rPr>
              <w:t>/</w:t>
            </w:r>
            <w:r w:rsidR="00783F6C">
              <w:rPr>
                <w:rFonts w:cstheme="minorHAnsi"/>
                <w:color w:val="000000" w:themeColor="text1"/>
                <w:sz w:val="16"/>
                <w:szCs w:val="16"/>
              </w:rPr>
              <w:t>2</w:t>
            </w:r>
            <w:r>
              <w:rPr>
                <w:rFonts w:cstheme="minorHAnsi"/>
                <w:color w:val="000000" w:themeColor="text1"/>
                <w:sz w:val="16"/>
                <w:szCs w:val="16"/>
              </w:rPr>
              <w:t>1</w:t>
            </w:r>
            <w:r w:rsidR="00FB4E86" w:rsidRPr="002A72C0">
              <w:rPr>
                <w:rFonts w:cstheme="minorHAnsi"/>
                <w:color w:val="000000" w:themeColor="text1"/>
                <w:sz w:val="16"/>
                <w:szCs w:val="16"/>
              </w:rPr>
              <w:t xml:space="preserve"> to </w:t>
            </w:r>
            <w:r>
              <w:rPr>
                <w:rFonts w:cstheme="minorHAnsi"/>
                <w:color w:val="000000" w:themeColor="text1"/>
                <w:sz w:val="16"/>
                <w:szCs w:val="16"/>
              </w:rPr>
              <w:t>03</w:t>
            </w:r>
            <w:r w:rsidR="00FB4E86" w:rsidRPr="002A72C0">
              <w:rPr>
                <w:rFonts w:cstheme="minorHAnsi"/>
                <w:color w:val="000000" w:themeColor="text1"/>
                <w:sz w:val="16"/>
                <w:szCs w:val="16"/>
              </w:rPr>
              <w:t>/</w:t>
            </w:r>
            <w:r w:rsidR="008B7DF0">
              <w:rPr>
                <w:rFonts w:cstheme="minorHAnsi"/>
                <w:color w:val="000000" w:themeColor="text1"/>
                <w:sz w:val="16"/>
                <w:szCs w:val="16"/>
              </w:rPr>
              <w:t>3</w:t>
            </w:r>
            <w:r w:rsidR="00515C52">
              <w:rPr>
                <w:rFonts w:cstheme="minorHAnsi"/>
                <w:color w:val="000000" w:themeColor="text1"/>
                <w:sz w:val="16"/>
                <w:szCs w:val="16"/>
              </w:rPr>
              <w:t>1</w:t>
            </w:r>
            <w:r w:rsidR="00FB4E86" w:rsidRPr="002A72C0">
              <w:rPr>
                <w:rFonts w:cstheme="minorHAnsi"/>
                <w:color w:val="000000" w:themeColor="text1"/>
                <w:sz w:val="16"/>
                <w:szCs w:val="16"/>
              </w:rPr>
              <w:t>/</w:t>
            </w:r>
            <w:proofErr w:type="gramStart"/>
            <w:r w:rsidR="008B7DF0">
              <w:rPr>
                <w:rFonts w:cstheme="minorHAnsi"/>
                <w:color w:val="000000" w:themeColor="text1"/>
                <w:sz w:val="16"/>
                <w:szCs w:val="16"/>
              </w:rPr>
              <w:t>2</w:t>
            </w:r>
            <w:r>
              <w:rPr>
                <w:rFonts w:cstheme="minorHAnsi"/>
                <w:color w:val="000000" w:themeColor="text1"/>
                <w:sz w:val="16"/>
                <w:szCs w:val="16"/>
              </w:rPr>
              <w:t>2</w:t>
            </w:r>
            <w:r w:rsidR="00FB4E86" w:rsidRPr="002A72C0">
              <w:rPr>
                <w:rFonts w:cstheme="minorHAnsi"/>
                <w:color w:val="000000" w:themeColor="text1"/>
                <w:sz w:val="16"/>
                <w:szCs w:val="16"/>
              </w:rPr>
              <w:t xml:space="preserve">  2</w:t>
            </w:r>
            <w:proofErr w:type="gramEnd"/>
            <w:r w:rsidR="00FB4E86" w:rsidRPr="002A72C0">
              <w:rPr>
                <w:rFonts w:cstheme="minorHAnsi"/>
                <w:color w:val="000000" w:themeColor="text1"/>
                <w:sz w:val="16"/>
                <w:szCs w:val="16"/>
              </w:rPr>
              <w:t xml:space="preserve">)  YTD through </w:t>
            </w:r>
            <w:r>
              <w:rPr>
                <w:rFonts w:cstheme="minorHAnsi"/>
                <w:color w:val="000000" w:themeColor="text1"/>
                <w:sz w:val="16"/>
                <w:szCs w:val="16"/>
              </w:rPr>
              <w:t>03</w:t>
            </w:r>
            <w:r w:rsidR="008458A4" w:rsidRPr="00226C7E">
              <w:rPr>
                <w:rFonts w:cstheme="minorHAnsi"/>
                <w:color w:val="000000" w:themeColor="text1"/>
                <w:sz w:val="16"/>
                <w:szCs w:val="16"/>
              </w:rPr>
              <w:t>/</w:t>
            </w:r>
            <w:r w:rsidR="00FB4E86" w:rsidRPr="00226C7E">
              <w:rPr>
                <w:rFonts w:cstheme="minorHAnsi"/>
                <w:color w:val="000000" w:themeColor="text1"/>
                <w:sz w:val="16"/>
                <w:szCs w:val="16"/>
              </w:rPr>
              <w:t>3</w:t>
            </w:r>
            <w:r w:rsidR="00515C52" w:rsidRPr="00226C7E">
              <w:rPr>
                <w:rFonts w:cstheme="minorHAnsi"/>
                <w:color w:val="000000" w:themeColor="text1"/>
                <w:sz w:val="16"/>
                <w:szCs w:val="16"/>
              </w:rPr>
              <w:t>1</w:t>
            </w:r>
            <w:r w:rsidR="00FB4E86" w:rsidRPr="00226C7E">
              <w:rPr>
                <w:rFonts w:cstheme="minorHAnsi"/>
                <w:color w:val="000000" w:themeColor="text1"/>
                <w:sz w:val="16"/>
                <w:szCs w:val="16"/>
              </w:rPr>
              <w:t>/</w:t>
            </w:r>
            <w:r w:rsidR="001B3FB0" w:rsidRPr="00226C7E">
              <w:rPr>
                <w:rFonts w:cstheme="minorHAnsi"/>
                <w:color w:val="000000" w:themeColor="text1"/>
                <w:sz w:val="16"/>
                <w:szCs w:val="16"/>
              </w:rPr>
              <w:t>2</w:t>
            </w:r>
            <w:r>
              <w:rPr>
                <w:rFonts w:cstheme="minorHAnsi"/>
                <w:color w:val="000000" w:themeColor="text1"/>
                <w:sz w:val="16"/>
                <w:szCs w:val="16"/>
              </w:rPr>
              <w:t>2</w:t>
            </w:r>
            <w:r w:rsidR="001B3FB0" w:rsidRPr="00226C7E">
              <w:rPr>
                <w:rFonts w:cstheme="minorHAnsi"/>
                <w:color w:val="000000" w:themeColor="text1"/>
                <w:sz w:val="16"/>
                <w:szCs w:val="16"/>
              </w:rPr>
              <w:t xml:space="preserve"> </w:t>
            </w:r>
            <w:r w:rsidR="00FB4E86" w:rsidRPr="00226C7E">
              <w:rPr>
                <w:rFonts w:cstheme="minorHAnsi"/>
                <w:color w:val="000000" w:themeColor="text1"/>
                <w:sz w:val="16"/>
                <w:szCs w:val="16"/>
              </w:rPr>
              <w:t xml:space="preserve"> 3)  12 Months Ended </w:t>
            </w:r>
            <w:r>
              <w:rPr>
                <w:rFonts w:cstheme="minorHAnsi"/>
                <w:color w:val="000000" w:themeColor="text1"/>
                <w:sz w:val="16"/>
                <w:szCs w:val="16"/>
              </w:rPr>
              <w:t>03</w:t>
            </w:r>
            <w:r w:rsidR="00FB4E86" w:rsidRPr="00226C7E">
              <w:rPr>
                <w:rFonts w:cstheme="minorHAnsi"/>
                <w:color w:val="000000" w:themeColor="text1"/>
                <w:sz w:val="16"/>
                <w:szCs w:val="16"/>
              </w:rPr>
              <w:t>/3</w:t>
            </w:r>
            <w:r w:rsidR="00515C52" w:rsidRPr="00226C7E">
              <w:rPr>
                <w:rFonts w:cstheme="minorHAnsi"/>
                <w:color w:val="000000" w:themeColor="text1"/>
                <w:sz w:val="16"/>
                <w:szCs w:val="16"/>
              </w:rPr>
              <w:t>1</w:t>
            </w:r>
            <w:r w:rsidR="00FB4E86" w:rsidRPr="00226C7E">
              <w:rPr>
                <w:rFonts w:cstheme="minorHAnsi"/>
                <w:color w:val="000000" w:themeColor="text1"/>
                <w:sz w:val="16"/>
                <w:szCs w:val="16"/>
              </w:rPr>
              <w:t>/</w:t>
            </w:r>
            <w:r w:rsidR="008B7DF0" w:rsidRPr="00226C7E">
              <w:rPr>
                <w:rFonts w:cstheme="minorHAnsi"/>
                <w:color w:val="000000" w:themeColor="text1"/>
                <w:sz w:val="16"/>
                <w:szCs w:val="16"/>
              </w:rPr>
              <w:t>2</w:t>
            </w:r>
            <w:r>
              <w:rPr>
                <w:rFonts w:cstheme="minorHAnsi"/>
                <w:color w:val="000000" w:themeColor="text1"/>
                <w:sz w:val="16"/>
                <w:szCs w:val="16"/>
              </w:rPr>
              <w:t>2</w:t>
            </w:r>
          </w:p>
        </w:tc>
      </w:tr>
    </w:tbl>
    <w:p w:rsidR="00A655C2" w:rsidRDefault="00FC196A" w:rsidP="00601F88">
      <w:pPr>
        <w:pStyle w:val="PGNormalJustified"/>
      </w:pPr>
      <w:r w:rsidRPr="002A72C0">
        <w:rPr>
          <w:rFonts w:cstheme="minorHAnsi"/>
          <w:noProof/>
          <w:lang w:eastAsia="en-US"/>
        </w:rPr>
        <mc:AlternateContent>
          <mc:Choice Requires="wps">
            <w:drawing>
              <wp:anchor distT="45720" distB="45720" distL="114300" distR="114300" simplePos="0" relativeHeight="251659264" behindDoc="0" locked="0" layoutInCell="1" allowOverlap="1" wp14:anchorId="17E30EBB" wp14:editId="7CB8D2B4">
                <wp:simplePos x="0" y="0"/>
                <wp:positionH relativeFrom="column">
                  <wp:posOffset>-152400</wp:posOffset>
                </wp:positionH>
                <wp:positionV relativeFrom="paragraph">
                  <wp:posOffset>53975</wp:posOffset>
                </wp:positionV>
                <wp:extent cx="4701540" cy="70485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704850"/>
                        </a:xfrm>
                        <a:prstGeom prst="rect">
                          <a:avLst/>
                        </a:prstGeom>
                        <a:solidFill>
                          <a:srgbClr val="FFFFFF"/>
                        </a:solidFill>
                        <a:ln w="9525">
                          <a:noFill/>
                          <a:miter lim="800000"/>
                          <a:headEnd/>
                          <a:tailEnd/>
                        </a:ln>
                      </wps:spPr>
                      <wps:txbx>
                        <w:txbxContent>
                          <w:p w:rsidR="00A655C2" w:rsidRPr="001B3FB0" w:rsidRDefault="00A655C2" w:rsidP="00A655C2">
                            <w:pPr>
                              <w:rPr>
                                <w:rFonts w:ascii="Arial" w:hAnsi="Arial" w:cs="Arial"/>
                                <w:sz w:val="16"/>
                                <w:szCs w:val="16"/>
                              </w:rPr>
                            </w:pPr>
                            <w:r w:rsidRPr="001B3FB0">
                              <w:rPr>
                                <w:rFonts w:ascii="Arial" w:hAnsi="Arial" w:cs="Arial"/>
                                <w:i/>
                                <w:sz w:val="16"/>
                                <w:szCs w:val="16"/>
                              </w:rPr>
                              <w:t>The information contained within has been obtained from sources believed to be reliable but cannot be guaranteed for accuracy.  The opinions expressed are subject to change from time to time and do not constitute a recommendation to purchase or sell any security nor to engage in any particular investment strategy. Investment Advisory Services are offered through Greenwood Capital Associates, LLC, an SEC-registered investment advisor.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30EBB" id="_x0000_t202" coordsize="21600,21600" o:spt="202" path="m,l,21600r21600,l21600,xe">
                <v:stroke joinstyle="miter"/>
                <v:path gradientshapeok="t" o:connecttype="rect"/>
              </v:shapetype>
              <v:shape id="Text Box 2" o:spid="_x0000_s1026" type="#_x0000_t202" style="position:absolute;left:0;text-align:left;margin-left:-12pt;margin-top:4.25pt;width:370.2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" stroked="f">
                <v:textbox>
                  <w:txbxContent>
                    <w:p w:rsidR="00A655C2" w:rsidRPr="001B3FB0" w:rsidRDefault="00A655C2" w:rsidP="00A655C2">
                      <w:pPr>
                        <w:rPr>
                          <w:rFonts w:ascii="Arial" w:hAnsi="Arial" w:cs="Arial"/>
                          <w:sz w:val="16"/>
                          <w:szCs w:val="16"/>
                        </w:rPr>
                      </w:pPr>
                      <w:r w:rsidRPr="001B3FB0">
                        <w:rPr>
                          <w:rFonts w:ascii="Arial" w:hAnsi="Arial" w:cs="Arial"/>
                          <w:i/>
                          <w:sz w:val="16"/>
                          <w:szCs w:val="16"/>
                        </w:rPr>
                        <w:t>The information contained within has been obtained from sources believed to be reliable but cannot be guaranteed for accuracy.  The opinions expressed are subject to change from time to time and do not constitute a recommendation to purchase or sell any security nor to engage in any particular investment strategy. Investment Advisory Services are offered through Greenwood Capital Associates, LLC, an SEC-registered investment advisor.</w:t>
                      </w:r>
                    </w:p>
                  </w:txbxContent>
                </v:textbox>
              </v:shape>
            </w:pict>
          </mc:Fallback>
        </mc:AlternateContent>
      </w:r>
    </w:p>
    <w:sectPr w:rsidR="00A655C2" w:rsidSect="00815A87">
      <w:headerReference w:type="default" r:id="rId8"/>
      <w:footerReference w:type="default" r:id="rId9"/>
      <w:pgSz w:w="15840" w:h="12240" w:orient="landscape" w:code="1"/>
      <w:pgMar w:top="1185" w:right="720" w:bottom="1350" w:left="720" w:header="432" w:footer="0" w:gutter="0"/>
      <w:cols w:num="2" w:space="7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7E9" w:rsidRDefault="008E47E9">
      <w:r>
        <w:separator/>
      </w:r>
    </w:p>
  </w:endnote>
  <w:endnote w:type="continuationSeparator" w:id="0">
    <w:p w:rsidR="008E47E9" w:rsidRDefault="008E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LT 55 Roman">
    <w:altName w:val="Bell MT"/>
    <w:panose1 w:val="02000503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74672"/>
      <w:docPartObj>
        <w:docPartGallery w:val="Page Numbers (Bottom of Page)"/>
        <w:docPartUnique/>
      </w:docPartObj>
    </w:sdtPr>
    <w:sdtEndPr>
      <w:rPr>
        <w:rFonts w:cstheme="minorHAnsi"/>
        <w:noProof/>
      </w:rPr>
    </w:sdtEndPr>
    <w:sdtContent>
      <w:p w:rsidR="002D20A5" w:rsidRDefault="002D20A5">
        <w:pPr>
          <w:pStyle w:val="Footer"/>
          <w:jc w:val="center"/>
        </w:pPr>
        <w:r w:rsidRPr="00F7706F">
          <w:rPr>
            <w:noProof/>
            <w:lang w:eastAsia="en-US"/>
          </w:rPr>
          <w:drawing>
            <wp:anchor distT="0" distB="0" distL="114300" distR="114300" simplePos="0" relativeHeight="251659264" behindDoc="0" locked="0" layoutInCell="1" allowOverlap="1" wp14:anchorId="38C31AE3" wp14:editId="2FEB49C9">
              <wp:simplePos x="0" y="0"/>
              <wp:positionH relativeFrom="page">
                <wp:posOffset>0</wp:posOffset>
              </wp:positionH>
              <wp:positionV relativeFrom="paragraph">
                <wp:posOffset>24765</wp:posOffset>
              </wp:positionV>
              <wp:extent cx="10134600" cy="2381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0A5" w:rsidRDefault="002D20A5">
        <w:pPr>
          <w:pStyle w:val="Footer"/>
          <w:jc w:val="center"/>
        </w:pPr>
      </w:p>
      <w:p w:rsidR="002D20A5" w:rsidRPr="00AC71C0" w:rsidRDefault="002D20A5">
        <w:pPr>
          <w:pStyle w:val="Footer"/>
          <w:jc w:val="center"/>
          <w:rPr>
            <w:rFonts w:cstheme="minorHAnsi"/>
          </w:rPr>
        </w:pPr>
        <w:r w:rsidRPr="00AC71C0">
          <w:rPr>
            <w:rFonts w:cstheme="minorHAnsi"/>
          </w:rPr>
          <w:fldChar w:fldCharType="begin"/>
        </w:r>
        <w:r w:rsidRPr="00AC71C0">
          <w:rPr>
            <w:rFonts w:cstheme="minorHAnsi"/>
          </w:rPr>
          <w:instrText xml:space="preserve"> PAGE   \* MERGEFORMAT </w:instrText>
        </w:r>
        <w:r w:rsidRPr="00AC71C0">
          <w:rPr>
            <w:rFonts w:cstheme="minorHAnsi"/>
          </w:rPr>
          <w:fldChar w:fldCharType="separate"/>
        </w:r>
        <w:r w:rsidR="002D48D5">
          <w:rPr>
            <w:rFonts w:cstheme="minorHAnsi"/>
            <w:noProof/>
          </w:rPr>
          <w:t>2</w:t>
        </w:r>
        <w:r w:rsidRPr="00AC71C0">
          <w:rPr>
            <w:rFonts w:cstheme="minorHAnsi"/>
            <w:noProof/>
          </w:rPr>
          <w:fldChar w:fldCharType="end"/>
        </w:r>
      </w:p>
    </w:sdtContent>
  </w:sdt>
  <w:p w:rsidR="00531ABE" w:rsidRDefault="00531ABE">
    <w:pPr>
      <w:pStyle w:val="Footer"/>
      <w:spacing w:before="120"/>
      <w:jc w:val="right"/>
      <w:rPr>
        <w:rFonts w:ascii="Avenir LT 55 Roman" w:hAnsi="Avenir LT 55 Roman"/>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7E9" w:rsidRDefault="008E47E9">
      <w:r>
        <w:separator/>
      </w:r>
    </w:p>
  </w:footnote>
  <w:footnote w:type="continuationSeparator" w:id="0">
    <w:p w:rsidR="008E47E9" w:rsidRDefault="008E4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2"/>
      <w:gridCol w:w="2926"/>
    </w:tblGrid>
    <w:tr w:rsidR="00531ABE">
      <w:tc>
        <w:tcPr>
          <w:tcW w:w="11582" w:type="dxa"/>
          <w:vAlign w:val="bottom"/>
          <w:hideMark/>
        </w:tcPr>
        <w:p w:rsidR="00531ABE" w:rsidRPr="002A72C0" w:rsidRDefault="00BF4D34" w:rsidP="0009068D">
          <w:pPr>
            <w:pStyle w:val="Header"/>
            <w:rPr>
              <w:rFonts w:cstheme="minorHAnsi"/>
              <w:sz w:val="52"/>
            </w:rPr>
          </w:pPr>
          <w:r w:rsidRPr="002A72C0">
            <w:rPr>
              <w:rFonts w:cstheme="minorHAnsi"/>
              <w:sz w:val="52"/>
            </w:rPr>
            <w:t>Market Commentary</w:t>
          </w:r>
          <w:r w:rsidR="00850EDF">
            <w:rPr>
              <w:rFonts w:cstheme="minorHAnsi"/>
              <w:sz w:val="52"/>
            </w:rPr>
            <w:t xml:space="preserve"> </w:t>
          </w:r>
          <w:r w:rsidR="0009068D">
            <w:rPr>
              <w:rFonts w:cstheme="minorHAnsi"/>
              <w:sz w:val="52"/>
            </w:rPr>
            <w:t>1</w:t>
          </w:r>
          <w:r w:rsidR="0009068D">
            <w:rPr>
              <w:rFonts w:cstheme="minorHAnsi"/>
              <w:sz w:val="52"/>
              <w:vertAlign w:val="superscript"/>
            </w:rPr>
            <w:t>st</w:t>
          </w:r>
          <w:r w:rsidR="00850EDF">
            <w:rPr>
              <w:rFonts w:cstheme="minorHAnsi"/>
              <w:sz w:val="52"/>
            </w:rPr>
            <w:t xml:space="preserve"> Quarter 202</w:t>
          </w:r>
          <w:r w:rsidR="0009068D">
            <w:rPr>
              <w:rFonts w:cstheme="minorHAnsi"/>
              <w:sz w:val="52"/>
            </w:rPr>
            <w:t>2</w:t>
          </w:r>
        </w:p>
      </w:tc>
      <w:tc>
        <w:tcPr>
          <w:tcW w:w="2926" w:type="dxa"/>
          <w:hideMark/>
        </w:tcPr>
        <w:p w:rsidR="00531ABE" w:rsidRDefault="0033708E">
          <w:pPr>
            <w:pStyle w:val="Header"/>
            <w:jc w:val="right"/>
          </w:pPr>
          <w:r>
            <w:rPr>
              <w:rFonts w:ascii="Avenir LT 55 Roman" w:hAnsi="Avenir LT 55 Roman"/>
              <w:noProof/>
              <w:sz w:val="52"/>
            </w:rPr>
            <w:drawing>
              <wp:anchor distT="0" distB="0" distL="114300" distR="114300" simplePos="0" relativeHeight="251660288" behindDoc="0" locked="0" layoutInCell="1" allowOverlap="1" wp14:anchorId="696B76D2" wp14:editId="5ABA5105">
                <wp:simplePos x="0" y="0"/>
                <wp:positionH relativeFrom="column">
                  <wp:posOffset>158115</wp:posOffset>
                </wp:positionH>
                <wp:positionV relativeFrom="paragraph">
                  <wp:posOffset>-179070</wp:posOffset>
                </wp:positionV>
                <wp:extent cx="1765935" cy="511684"/>
                <wp:effectExtent l="0" t="0" r="571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511684"/>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531ABE" w:rsidRDefault="00531ABE">
    <w:pPr>
      <w:pStyle w:val="Header"/>
      <w:rPr>
        <w:sz w:val="12"/>
        <w:szCs w:val="12"/>
      </w:rPr>
    </w:pPr>
  </w:p>
  <w:p w:rsidR="00531ABE" w:rsidRDefault="00531ABE">
    <w:pPr>
      <w:pStyle w:val="Header"/>
      <w:pBdr>
        <w:top w:val="single" w:sz="48" w:space="1" w:color="auto"/>
      </w:pBdr>
      <w:ind w:right="-1440" w:hanging="1440"/>
      <w:rPr>
        <w:sz w:val="3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479"/>
    <w:multiLevelType w:val="hybridMultilevel"/>
    <w:tmpl w:val="DF2AE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94301"/>
    <w:multiLevelType w:val="hybridMultilevel"/>
    <w:tmpl w:val="2500DB94"/>
    <w:lvl w:ilvl="0" w:tplc="A1640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false"/>
    <w:docVar w:name="APWAFVersion" w:val="5.0"/>
  </w:docVars>
  <w:rsids>
    <w:rsidRoot w:val="00531ABE"/>
    <w:rsid w:val="00000613"/>
    <w:rsid w:val="0000322F"/>
    <w:rsid w:val="00003FBF"/>
    <w:rsid w:val="00006976"/>
    <w:rsid w:val="00015839"/>
    <w:rsid w:val="00015E2E"/>
    <w:rsid w:val="000206AA"/>
    <w:rsid w:val="00023947"/>
    <w:rsid w:val="00031FA4"/>
    <w:rsid w:val="00035337"/>
    <w:rsid w:val="0004171C"/>
    <w:rsid w:val="0004267F"/>
    <w:rsid w:val="000443EA"/>
    <w:rsid w:val="000453A2"/>
    <w:rsid w:val="00045794"/>
    <w:rsid w:val="0005036A"/>
    <w:rsid w:val="00052159"/>
    <w:rsid w:val="000527BB"/>
    <w:rsid w:val="00055D48"/>
    <w:rsid w:val="0006267F"/>
    <w:rsid w:val="00063D4A"/>
    <w:rsid w:val="00065452"/>
    <w:rsid w:val="00066165"/>
    <w:rsid w:val="00070CC1"/>
    <w:rsid w:val="00072B01"/>
    <w:rsid w:val="00076EE5"/>
    <w:rsid w:val="000834C5"/>
    <w:rsid w:val="0009068D"/>
    <w:rsid w:val="00090FC0"/>
    <w:rsid w:val="0009361B"/>
    <w:rsid w:val="000A0B01"/>
    <w:rsid w:val="000A147B"/>
    <w:rsid w:val="000A1D23"/>
    <w:rsid w:val="000A25FD"/>
    <w:rsid w:val="000A6660"/>
    <w:rsid w:val="000B1DBF"/>
    <w:rsid w:val="000B41D4"/>
    <w:rsid w:val="000B4F96"/>
    <w:rsid w:val="000D2C8B"/>
    <w:rsid w:val="000E15E3"/>
    <w:rsid w:val="000F5A22"/>
    <w:rsid w:val="000F6CE9"/>
    <w:rsid w:val="00104744"/>
    <w:rsid w:val="00106103"/>
    <w:rsid w:val="00111351"/>
    <w:rsid w:val="001113AE"/>
    <w:rsid w:val="00120A43"/>
    <w:rsid w:val="00125355"/>
    <w:rsid w:val="00125BFC"/>
    <w:rsid w:val="0013007F"/>
    <w:rsid w:val="001334EC"/>
    <w:rsid w:val="00141F5E"/>
    <w:rsid w:val="001422B3"/>
    <w:rsid w:val="001445FB"/>
    <w:rsid w:val="001452C1"/>
    <w:rsid w:val="00151247"/>
    <w:rsid w:val="00151A6F"/>
    <w:rsid w:val="00155203"/>
    <w:rsid w:val="001576D8"/>
    <w:rsid w:val="001638BE"/>
    <w:rsid w:val="00164FD4"/>
    <w:rsid w:val="001671A3"/>
    <w:rsid w:val="00173E7A"/>
    <w:rsid w:val="00174DA8"/>
    <w:rsid w:val="001756B5"/>
    <w:rsid w:val="001758F0"/>
    <w:rsid w:val="0018318E"/>
    <w:rsid w:val="0018530C"/>
    <w:rsid w:val="00187E09"/>
    <w:rsid w:val="0019099E"/>
    <w:rsid w:val="00197886"/>
    <w:rsid w:val="001A0421"/>
    <w:rsid w:val="001A143C"/>
    <w:rsid w:val="001A2291"/>
    <w:rsid w:val="001A2556"/>
    <w:rsid w:val="001A58B7"/>
    <w:rsid w:val="001A655C"/>
    <w:rsid w:val="001A7E81"/>
    <w:rsid w:val="001B002C"/>
    <w:rsid w:val="001B3FB0"/>
    <w:rsid w:val="001B7037"/>
    <w:rsid w:val="001C5BDE"/>
    <w:rsid w:val="001C7E07"/>
    <w:rsid w:val="001D0580"/>
    <w:rsid w:val="001D24AB"/>
    <w:rsid w:val="001D4C60"/>
    <w:rsid w:val="001E47F8"/>
    <w:rsid w:val="001E5499"/>
    <w:rsid w:val="001E7DB5"/>
    <w:rsid w:val="001F1705"/>
    <w:rsid w:val="001F2202"/>
    <w:rsid w:val="002039F9"/>
    <w:rsid w:val="00204A49"/>
    <w:rsid w:val="002132B1"/>
    <w:rsid w:val="002149B1"/>
    <w:rsid w:val="00214D62"/>
    <w:rsid w:val="00215FC8"/>
    <w:rsid w:val="00217F59"/>
    <w:rsid w:val="00226204"/>
    <w:rsid w:val="00226C7E"/>
    <w:rsid w:val="00227CA5"/>
    <w:rsid w:val="00235EF6"/>
    <w:rsid w:val="002366E8"/>
    <w:rsid w:val="00236963"/>
    <w:rsid w:val="00240288"/>
    <w:rsid w:val="002440B5"/>
    <w:rsid w:val="002456DD"/>
    <w:rsid w:val="0025327F"/>
    <w:rsid w:val="00266469"/>
    <w:rsid w:val="0026660A"/>
    <w:rsid w:val="002709BD"/>
    <w:rsid w:val="002734DA"/>
    <w:rsid w:val="002748AE"/>
    <w:rsid w:val="00276700"/>
    <w:rsid w:val="00283893"/>
    <w:rsid w:val="0028767A"/>
    <w:rsid w:val="00291DA0"/>
    <w:rsid w:val="002952CD"/>
    <w:rsid w:val="002A2A58"/>
    <w:rsid w:val="002A72C0"/>
    <w:rsid w:val="002B19EC"/>
    <w:rsid w:val="002B2DFC"/>
    <w:rsid w:val="002B342D"/>
    <w:rsid w:val="002B3E75"/>
    <w:rsid w:val="002B4B9E"/>
    <w:rsid w:val="002B74EC"/>
    <w:rsid w:val="002C2269"/>
    <w:rsid w:val="002C2362"/>
    <w:rsid w:val="002C2B42"/>
    <w:rsid w:val="002C57DF"/>
    <w:rsid w:val="002D20A5"/>
    <w:rsid w:val="002D48D5"/>
    <w:rsid w:val="002D5D71"/>
    <w:rsid w:val="002D6FF5"/>
    <w:rsid w:val="002D7165"/>
    <w:rsid w:val="002E1BAE"/>
    <w:rsid w:val="002E35AC"/>
    <w:rsid w:val="002E42A2"/>
    <w:rsid w:val="002E53A7"/>
    <w:rsid w:val="002E5FF0"/>
    <w:rsid w:val="002F27C2"/>
    <w:rsid w:val="002F4584"/>
    <w:rsid w:val="002F531E"/>
    <w:rsid w:val="002F7A74"/>
    <w:rsid w:val="003145AA"/>
    <w:rsid w:val="00320E3C"/>
    <w:rsid w:val="00322246"/>
    <w:rsid w:val="00326D8F"/>
    <w:rsid w:val="00335BD7"/>
    <w:rsid w:val="00336713"/>
    <w:rsid w:val="0033708E"/>
    <w:rsid w:val="003415A0"/>
    <w:rsid w:val="00345050"/>
    <w:rsid w:val="0035617F"/>
    <w:rsid w:val="00356A6B"/>
    <w:rsid w:val="00356A9C"/>
    <w:rsid w:val="00356D4D"/>
    <w:rsid w:val="0036205C"/>
    <w:rsid w:val="0036794A"/>
    <w:rsid w:val="003735D7"/>
    <w:rsid w:val="00375C9F"/>
    <w:rsid w:val="0037723B"/>
    <w:rsid w:val="003869C1"/>
    <w:rsid w:val="00390319"/>
    <w:rsid w:val="00391CB7"/>
    <w:rsid w:val="003A0241"/>
    <w:rsid w:val="003B0BFB"/>
    <w:rsid w:val="003B2B8D"/>
    <w:rsid w:val="003B7A68"/>
    <w:rsid w:val="003C3B53"/>
    <w:rsid w:val="003C4D86"/>
    <w:rsid w:val="003D154D"/>
    <w:rsid w:val="003D6EC4"/>
    <w:rsid w:val="003E0C51"/>
    <w:rsid w:val="003E1357"/>
    <w:rsid w:val="003E4728"/>
    <w:rsid w:val="003E5297"/>
    <w:rsid w:val="003E61A3"/>
    <w:rsid w:val="003E7BAF"/>
    <w:rsid w:val="003F469B"/>
    <w:rsid w:val="003F4AAA"/>
    <w:rsid w:val="00402BB9"/>
    <w:rsid w:val="004102FE"/>
    <w:rsid w:val="0041347A"/>
    <w:rsid w:val="00414976"/>
    <w:rsid w:val="00424BCF"/>
    <w:rsid w:val="00431007"/>
    <w:rsid w:val="004315D7"/>
    <w:rsid w:val="00432E16"/>
    <w:rsid w:val="0043368E"/>
    <w:rsid w:val="00436BF8"/>
    <w:rsid w:val="004478A7"/>
    <w:rsid w:val="004552E3"/>
    <w:rsid w:val="004554D4"/>
    <w:rsid w:val="00455765"/>
    <w:rsid w:val="00456661"/>
    <w:rsid w:val="0045745D"/>
    <w:rsid w:val="00457724"/>
    <w:rsid w:val="00460521"/>
    <w:rsid w:val="00463A6A"/>
    <w:rsid w:val="00466480"/>
    <w:rsid w:val="004765CD"/>
    <w:rsid w:val="004838ED"/>
    <w:rsid w:val="004864FC"/>
    <w:rsid w:val="00486965"/>
    <w:rsid w:val="004948E0"/>
    <w:rsid w:val="00494D97"/>
    <w:rsid w:val="004A043F"/>
    <w:rsid w:val="004A0F92"/>
    <w:rsid w:val="004A63A0"/>
    <w:rsid w:val="004A710E"/>
    <w:rsid w:val="004B0085"/>
    <w:rsid w:val="004B2375"/>
    <w:rsid w:val="004B352B"/>
    <w:rsid w:val="004B38C3"/>
    <w:rsid w:val="004B7504"/>
    <w:rsid w:val="004C06E8"/>
    <w:rsid w:val="004C2890"/>
    <w:rsid w:val="004C6458"/>
    <w:rsid w:val="004D58BC"/>
    <w:rsid w:val="004E51C2"/>
    <w:rsid w:val="004F336F"/>
    <w:rsid w:val="004F41B2"/>
    <w:rsid w:val="004F7719"/>
    <w:rsid w:val="005006DE"/>
    <w:rsid w:val="00502A38"/>
    <w:rsid w:val="005078E6"/>
    <w:rsid w:val="00513F4A"/>
    <w:rsid w:val="00515C52"/>
    <w:rsid w:val="00524AED"/>
    <w:rsid w:val="00526610"/>
    <w:rsid w:val="0053105D"/>
    <w:rsid w:val="00531767"/>
    <w:rsid w:val="005317E5"/>
    <w:rsid w:val="00531ABE"/>
    <w:rsid w:val="00537FE6"/>
    <w:rsid w:val="00540F50"/>
    <w:rsid w:val="005413C0"/>
    <w:rsid w:val="00542F4B"/>
    <w:rsid w:val="00544AD0"/>
    <w:rsid w:val="0055271B"/>
    <w:rsid w:val="005608A2"/>
    <w:rsid w:val="00566956"/>
    <w:rsid w:val="00580B55"/>
    <w:rsid w:val="00584DF4"/>
    <w:rsid w:val="00587C3F"/>
    <w:rsid w:val="005915B6"/>
    <w:rsid w:val="00593EFA"/>
    <w:rsid w:val="0059538C"/>
    <w:rsid w:val="00596DAE"/>
    <w:rsid w:val="005A5B17"/>
    <w:rsid w:val="005A618A"/>
    <w:rsid w:val="005A6E78"/>
    <w:rsid w:val="005B4846"/>
    <w:rsid w:val="005B55BD"/>
    <w:rsid w:val="005B6D87"/>
    <w:rsid w:val="005C0C7D"/>
    <w:rsid w:val="005C10AA"/>
    <w:rsid w:val="005C3AF5"/>
    <w:rsid w:val="005C60FE"/>
    <w:rsid w:val="005C701E"/>
    <w:rsid w:val="005D1CB1"/>
    <w:rsid w:val="005D5511"/>
    <w:rsid w:val="005D5944"/>
    <w:rsid w:val="005D6957"/>
    <w:rsid w:val="005D7D88"/>
    <w:rsid w:val="005E0D47"/>
    <w:rsid w:val="005E2C93"/>
    <w:rsid w:val="005E34CB"/>
    <w:rsid w:val="005F2DD0"/>
    <w:rsid w:val="005F2ECC"/>
    <w:rsid w:val="005F425C"/>
    <w:rsid w:val="005F624F"/>
    <w:rsid w:val="005F73C1"/>
    <w:rsid w:val="00601F88"/>
    <w:rsid w:val="00603485"/>
    <w:rsid w:val="00603AC9"/>
    <w:rsid w:val="0060586D"/>
    <w:rsid w:val="00606D82"/>
    <w:rsid w:val="0061057E"/>
    <w:rsid w:val="00611A6F"/>
    <w:rsid w:val="00612C95"/>
    <w:rsid w:val="00613537"/>
    <w:rsid w:val="006201DD"/>
    <w:rsid w:val="00620A37"/>
    <w:rsid w:val="006214D1"/>
    <w:rsid w:val="00623CB5"/>
    <w:rsid w:val="00624959"/>
    <w:rsid w:val="0062586B"/>
    <w:rsid w:val="00627CE4"/>
    <w:rsid w:val="00632A9D"/>
    <w:rsid w:val="00633D82"/>
    <w:rsid w:val="0063583B"/>
    <w:rsid w:val="00642745"/>
    <w:rsid w:val="0064692C"/>
    <w:rsid w:val="006515C4"/>
    <w:rsid w:val="006540A3"/>
    <w:rsid w:val="00661C0E"/>
    <w:rsid w:val="006648E2"/>
    <w:rsid w:val="00667E7A"/>
    <w:rsid w:val="006709A9"/>
    <w:rsid w:val="00670C56"/>
    <w:rsid w:val="0067266B"/>
    <w:rsid w:val="00672D90"/>
    <w:rsid w:val="00672F28"/>
    <w:rsid w:val="00673735"/>
    <w:rsid w:val="00674A82"/>
    <w:rsid w:val="00677663"/>
    <w:rsid w:val="00692C1D"/>
    <w:rsid w:val="00693D6F"/>
    <w:rsid w:val="006A0EB3"/>
    <w:rsid w:val="006A2EBF"/>
    <w:rsid w:val="006A37C1"/>
    <w:rsid w:val="006B2B5C"/>
    <w:rsid w:val="006B3A41"/>
    <w:rsid w:val="006B520F"/>
    <w:rsid w:val="006B778C"/>
    <w:rsid w:val="006C059D"/>
    <w:rsid w:val="006C3E55"/>
    <w:rsid w:val="006C43E9"/>
    <w:rsid w:val="006C47FE"/>
    <w:rsid w:val="006C51F6"/>
    <w:rsid w:val="006C5E92"/>
    <w:rsid w:val="006D2C5F"/>
    <w:rsid w:val="006D5A53"/>
    <w:rsid w:val="006E13CE"/>
    <w:rsid w:val="006E7534"/>
    <w:rsid w:val="006F1AA9"/>
    <w:rsid w:val="006F66D1"/>
    <w:rsid w:val="006F6D5E"/>
    <w:rsid w:val="007016C7"/>
    <w:rsid w:val="00702A98"/>
    <w:rsid w:val="00711268"/>
    <w:rsid w:val="00711FCD"/>
    <w:rsid w:val="007123CB"/>
    <w:rsid w:val="00714102"/>
    <w:rsid w:val="00716973"/>
    <w:rsid w:val="00717414"/>
    <w:rsid w:val="0071759A"/>
    <w:rsid w:val="0071793A"/>
    <w:rsid w:val="0072001E"/>
    <w:rsid w:val="00725C0A"/>
    <w:rsid w:val="0072789A"/>
    <w:rsid w:val="00741332"/>
    <w:rsid w:val="00742AAD"/>
    <w:rsid w:val="00743BA9"/>
    <w:rsid w:val="0075023A"/>
    <w:rsid w:val="00752675"/>
    <w:rsid w:val="007552E3"/>
    <w:rsid w:val="00757A2F"/>
    <w:rsid w:val="00760292"/>
    <w:rsid w:val="00760294"/>
    <w:rsid w:val="00760FE1"/>
    <w:rsid w:val="00761B6C"/>
    <w:rsid w:val="0076252A"/>
    <w:rsid w:val="00762EE3"/>
    <w:rsid w:val="0076442E"/>
    <w:rsid w:val="007646FF"/>
    <w:rsid w:val="00764B9A"/>
    <w:rsid w:val="0078170E"/>
    <w:rsid w:val="00782B60"/>
    <w:rsid w:val="00783761"/>
    <w:rsid w:val="00783F6C"/>
    <w:rsid w:val="007843DE"/>
    <w:rsid w:val="007869A3"/>
    <w:rsid w:val="0079670E"/>
    <w:rsid w:val="00796CC3"/>
    <w:rsid w:val="007A215B"/>
    <w:rsid w:val="007B069A"/>
    <w:rsid w:val="007B1888"/>
    <w:rsid w:val="007B6B18"/>
    <w:rsid w:val="007C5C9E"/>
    <w:rsid w:val="007D590B"/>
    <w:rsid w:val="007D6867"/>
    <w:rsid w:val="007D7E32"/>
    <w:rsid w:val="007E05F9"/>
    <w:rsid w:val="007E2E11"/>
    <w:rsid w:val="007E4931"/>
    <w:rsid w:val="007F1F0C"/>
    <w:rsid w:val="007F3EDA"/>
    <w:rsid w:val="007F45C8"/>
    <w:rsid w:val="00806073"/>
    <w:rsid w:val="0080635C"/>
    <w:rsid w:val="00815A87"/>
    <w:rsid w:val="00816C18"/>
    <w:rsid w:val="00820178"/>
    <w:rsid w:val="008230D8"/>
    <w:rsid w:val="00824AAD"/>
    <w:rsid w:val="0083074B"/>
    <w:rsid w:val="00835A67"/>
    <w:rsid w:val="00836FCA"/>
    <w:rsid w:val="00837459"/>
    <w:rsid w:val="008456A5"/>
    <w:rsid w:val="008458A4"/>
    <w:rsid w:val="00850EDF"/>
    <w:rsid w:val="00851265"/>
    <w:rsid w:val="008515AE"/>
    <w:rsid w:val="00857937"/>
    <w:rsid w:val="008602D0"/>
    <w:rsid w:val="00863DB3"/>
    <w:rsid w:val="00866074"/>
    <w:rsid w:val="008704C6"/>
    <w:rsid w:val="00870834"/>
    <w:rsid w:val="00872CC6"/>
    <w:rsid w:val="00873CDD"/>
    <w:rsid w:val="008755CE"/>
    <w:rsid w:val="00885942"/>
    <w:rsid w:val="008A055F"/>
    <w:rsid w:val="008A296C"/>
    <w:rsid w:val="008A6771"/>
    <w:rsid w:val="008A6B9B"/>
    <w:rsid w:val="008B1CC1"/>
    <w:rsid w:val="008B477C"/>
    <w:rsid w:val="008B7CEF"/>
    <w:rsid w:val="008B7DF0"/>
    <w:rsid w:val="008C582E"/>
    <w:rsid w:val="008D18AA"/>
    <w:rsid w:val="008D4277"/>
    <w:rsid w:val="008D487E"/>
    <w:rsid w:val="008E47E9"/>
    <w:rsid w:val="008E5DC6"/>
    <w:rsid w:val="008E5E66"/>
    <w:rsid w:val="008F0380"/>
    <w:rsid w:val="008F3B7C"/>
    <w:rsid w:val="008F6A63"/>
    <w:rsid w:val="009014C0"/>
    <w:rsid w:val="00903C70"/>
    <w:rsid w:val="00904F1A"/>
    <w:rsid w:val="009054B0"/>
    <w:rsid w:val="009058DF"/>
    <w:rsid w:val="009106F1"/>
    <w:rsid w:val="00910B9B"/>
    <w:rsid w:val="009138BB"/>
    <w:rsid w:val="009160A0"/>
    <w:rsid w:val="00916FB7"/>
    <w:rsid w:val="00923BCE"/>
    <w:rsid w:val="0092445B"/>
    <w:rsid w:val="00931F88"/>
    <w:rsid w:val="00932FA2"/>
    <w:rsid w:val="00933B80"/>
    <w:rsid w:val="00937A27"/>
    <w:rsid w:val="00941C4B"/>
    <w:rsid w:val="00954418"/>
    <w:rsid w:val="00961BB4"/>
    <w:rsid w:val="00964331"/>
    <w:rsid w:val="0097173A"/>
    <w:rsid w:val="00971FFD"/>
    <w:rsid w:val="0098078E"/>
    <w:rsid w:val="0098231E"/>
    <w:rsid w:val="00983225"/>
    <w:rsid w:val="009837BB"/>
    <w:rsid w:val="0098570B"/>
    <w:rsid w:val="009903FB"/>
    <w:rsid w:val="009A0FA9"/>
    <w:rsid w:val="009A212B"/>
    <w:rsid w:val="009A4D77"/>
    <w:rsid w:val="009B2CA0"/>
    <w:rsid w:val="009B2CB5"/>
    <w:rsid w:val="009B336B"/>
    <w:rsid w:val="009B4531"/>
    <w:rsid w:val="009C15FA"/>
    <w:rsid w:val="009C2069"/>
    <w:rsid w:val="009C211D"/>
    <w:rsid w:val="009C228E"/>
    <w:rsid w:val="009C56EC"/>
    <w:rsid w:val="009D1AB4"/>
    <w:rsid w:val="009E2312"/>
    <w:rsid w:val="009E2FE5"/>
    <w:rsid w:val="009E6D81"/>
    <w:rsid w:val="009E79FA"/>
    <w:rsid w:val="009F0075"/>
    <w:rsid w:val="009F693C"/>
    <w:rsid w:val="009F7AE6"/>
    <w:rsid w:val="00A01816"/>
    <w:rsid w:val="00A1210F"/>
    <w:rsid w:val="00A16492"/>
    <w:rsid w:val="00A218DF"/>
    <w:rsid w:val="00A21B9A"/>
    <w:rsid w:val="00A241C3"/>
    <w:rsid w:val="00A24887"/>
    <w:rsid w:val="00A24C1F"/>
    <w:rsid w:val="00A2671F"/>
    <w:rsid w:val="00A306EE"/>
    <w:rsid w:val="00A319E5"/>
    <w:rsid w:val="00A3371A"/>
    <w:rsid w:val="00A34367"/>
    <w:rsid w:val="00A346C8"/>
    <w:rsid w:val="00A424B4"/>
    <w:rsid w:val="00A43B2C"/>
    <w:rsid w:val="00A476DF"/>
    <w:rsid w:val="00A51FCA"/>
    <w:rsid w:val="00A52F69"/>
    <w:rsid w:val="00A53257"/>
    <w:rsid w:val="00A655C2"/>
    <w:rsid w:val="00A74F6C"/>
    <w:rsid w:val="00A768CC"/>
    <w:rsid w:val="00A76AF5"/>
    <w:rsid w:val="00A77303"/>
    <w:rsid w:val="00A80B0C"/>
    <w:rsid w:val="00A80C82"/>
    <w:rsid w:val="00A83334"/>
    <w:rsid w:val="00A84D13"/>
    <w:rsid w:val="00A85E11"/>
    <w:rsid w:val="00A861EE"/>
    <w:rsid w:val="00A86B29"/>
    <w:rsid w:val="00AA5EDF"/>
    <w:rsid w:val="00AB1227"/>
    <w:rsid w:val="00AB303D"/>
    <w:rsid w:val="00AB3D5F"/>
    <w:rsid w:val="00AB6022"/>
    <w:rsid w:val="00AC68A1"/>
    <w:rsid w:val="00AC71C0"/>
    <w:rsid w:val="00AD0A69"/>
    <w:rsid w:val="00AD20D0"/>
    <w:rsid w:val="00AD4E23"/>
    <w:rsid w:val="00AD7F33"/>
    <w:rsid w:val="00AE0EDA"/>
    <w:rsid w:val="00AE15C0"/>
    <w:rsid w:val="00B00E88"/>
    <w:rsid w:val="00B06758"/>
    <w:rsid w:val="00B12529"/>
    <w:rsid w:val="00B12828"/>
    <w:rsid w:val="00B1636B"/>
    <w:rsid w:val="00B1710F"/>
    <w:rsid w:val="00B271D9"/>
    <w:rsid w:val="00B31553"/>
    <w:rsid w:val="00B34EAE"/>
    <w:rsid w:val="00B35720"/>
    <w:rsid w:val="00B359C9"/>
    <w:rsid w:val="00B42022"/>
    <w:rsid w:val="00B44134"/>
    <w:rsid w:val="00B45217"/>
    <w:rsid w:val="00B50CB1"/>
    <w:rsid w:val="00B54143"/>
    <w:rsid w:val="00B54415"/>
    <w:rsid w:val="00B5673B"/>
    <w:rsid w:val="00B56B19"/>
    <w:rsid w:val="00B65F5A"/>
    <w:rsid w:val="00B75046"/>
    <w:rsid w:val="00B756A0"/>
    <w:rsid w:val="00B805FB"/>
    <w:rsid w:val="00B82AEE"/>
    <w:rsid w:val="00B82F50"/>
    <w:rsid w:val="00B83DB4"/>
    <w:rsid w:val="00B863E6"/>
    <w:rsid w:val="00B867CC"/>
    <w:rsid w:val="00B91056"/>
    <w:rsid w:val="00BA2D82"/>
    <w:rsid w:val="00BA6015"/>
    <w:rsid w:val="00BA7BC3"/>
    <w:rsid w:val="00BB17EC"/>
    <w:rsid w:val="00BC0CDB"/>
    <w:rsid w:val="00BC3070"/>
    <w:rsid w:val="00BC6BCC"/>
    <w:rsid w:val="00BC7BE6"/>
    <w:rsid w:val="00BD03E2"/>
    <w:rsid w:val="00BD2CB0"/>
    <w:rsid w:val="00BE112D"/>
    <w:rsid w:val="00BE17FD"/>
    <w:rsid w:val="00BE7BC4"/>
    <w:rsid w:val="00BF4D34"/>
    <w:rsid w:val="00BF55FD"/>
    <w:rsid w:val="00C07215"/>
    <w:rsid w:val="00C0729C"/>
    <w:rsid w:val="00C1286A"/>
    <w:rsid w:val="00C138BD"/>
    <w:rsid w:val="00C14015"/>
    <w:rsid w:val="00C2083D"/>
    <w:rsid w:val="00C21254"/>
    <w:rsid w:val="00C2504C"/>
    <w:rsid w:val="00C2568C"/>
    <w:rsid w:val="00C318E8"/>
    <w:rsid w:val="00C3793B"/>
    <w:rsid w:val="00C41153"/>
    <w:rsid w:val="00C422C8"/>
    <w:rsid w:val="00C441FA"/>
    <w:rsid w:val="00C46097"/>
    <w:rsid w:val="00C51401"/>
    <w:rsid w:val="00C54F73"/>
    <w:rsid w:val="00C60C3A"/>
    <w:rsid w:val="00C6289E"/>
    <w:rsid w:val="00C6486A"/>
    <w:rsid w:val="00C663E0"/>
    <w:rsid w:val="00C6722B"/>
    <w:rsid w:val="00C7193A"/>
    <w:rsid w:val="00C753F5"/>
    <w:rsid w:val="00C7762B"/>
    <w:rsid w:val="00C776DC"/>
    <w:rsid w:val="00C86DF0"/>
    <w:rsid w:val="00C92300"/>
    <w:rsid w:val="00C93FED"/>
    <w:rsid w:val="00C95016"/>
    <w:rsid w:val="00C965DB"/>
    <w:rsid w:val="00C96E8B"/>
    <w:rsid w:val="00C96F65"/>
    <w:rsid w:val="00C97D13"/>
    <w:rsid w:val="00CA0942"/>
    <w:rsid w:val="00CA19EE"/>
    <w:rsid w:val="00CA3A38"/>
    <w:rsid w:val="00CA7CA9"/>
    <w:rsid w:val="00CB0CBA"/>
    <w:rsid w:val="00CB2C1F"/>
    <w:rsid w:val="00CB6456"/>
    <w:rsid w:val="00CB72BA"/>
    <w:rsid w:val="00CC729D"/>
    <w:rsid w:val="00CE142A"/>
    <w:rsid w:val="00CE1586"/>
    <w:rsid w:val="00CE2554"/>
    <w:rsid w:val="00CE2724"/>
    <w:rsid w:val="00D03524"/>
    <w:rsid w:val="00D13F5F"/>
    <w:rsid w:val="00D14AAA"/>
    <w:rsid w:val="00D15B47"/>
    <w:rsid w:val="00D17BF1"/>
    <w:rsid w:val="00D25067"/>
    <w:rsid w:val="00D253E6"/>
    <w:rsid w:val="00D25C3C"/>
    <w:rsid w:val="00D30F03"/>
    <w:rsid w:val="00D3365D"/>
    <w:rsid w:val="00D34DB5"/>
    <w:rsid w:val="00D35376"/>
    <w:rsid w:val="00D35692"/>
    <w:rsid w:val="00D4070D"/>
    <w:rsid w:val="00D41EF9"/>
    <w:rsid w:val="00D51BC0"/>
    <w:rsid w:val="00D53DFE"/>
    <w:rsid w:val="00D564BF"/>
    <w:rsid w:val="00D60F80"/>
    <w:rsid w:val="00D62912"/>
    <w:rsid w:val="00D72D02"/>
    <w:rsid w:val="00D77FA8"/>
    <w:rsid w:val="00D80CD1"/>
    <w:rsid w:val="00D80F42"/>
    <w:rsid w:val="00D82E7F"/>
    <w:rsid w:val="00D84180"/>
    <w:rsid w:val="00D84703"/>
    <w:rsid w:val="00D87A09"/>
    <w:rsid w:val="00D932B8"/>
    <w:rsid w:val="00D93EA8"/>
    <w:rsid w:val="00DA0C42"/>
    <w:rsid w:val="00DA0E25"/>
    <w:rsid w:val="00DB1A2E"/>
    <w:rsid w:val="00DB72AE"/>
    <w:rsid w:val="00DC03EA"/>
    <w:rsid w:val="00DD0E81"/>
    <w:rsid w:val="00DD6596"/>
    <w:rsid w:val="00DE2B13"/>
    <w:rsid w:val="00DE3F1C"/>
    <w:rsid w:val="00DE4AF6"/>
    <w:rsid w:val="00DE52E0"/>
    <w:rsid w:val="00DE7793"/>
    <w:rsid w:val="00DF0A8E"/>
    <w:rsid w:val="00DF189E"/>
    <w:rsid w:val="00DF70CE"/>
    <w:rsid w:val="00E00964"/>
    <w:rsid w:val="00E011C2"/>
    <w:rsid w:val="00E02151"/>
    <w:rsid w:val="00E02A1C"/>
    <w:rsid w:val="00E04631"/>
    <w:rsid w:val="00E123D2"/>
    <w:rsid w:val="00E12E9E"/>
    <w:rsid w:val="00E159DB"/>
    <w:rsid w:val="00E2479B"/>
    <w:rsid w:val="00E25B6D"/>
    <w:rsid w:val="00E274B8"/>
    <w:rsid w:val="00E32B22"/>
    <w:rsid w:val="00E442DE"/>
    <w:rsid w:val="00E4560E"/>
    <w:rsid w:val="00E47D7D"/>
    <w:rsid w:val="00E50246"/>
    <w:rsid w:val="00E575FA"/>
    <w:rsid w:val="00E60337"/>
    <w:rsid w:val="00E61825"/>
    <w:rsid w:val="00E632B9"/>
    <w:rsid w:val="00E70055"/>
    <w:rsid w:val="00E707D8"/>
    <w:rsid w:val="00E71C31"/>
    <w:rsid w:val="00E75E6A"/>
    <w:rsid w:val="00E771E3"/>
    <w:rsid w:val="00E80189"/>
    <w:rsid w:val="00E815CE"/>
    <w:rsid w:val="00E9056C"/>
    <w:rsid w:val="00E92EBC"/>
    <w:rsid w:val="00E948FD"/>
    <w:rsid w:val="00E96216"/>
    <w:rsid w:val="00EA112A"/>
    <w:rsid w:val="00EA459A"/>
    <w:rsid w:val="00EA500E"/>
    <w:rsid w:val="00EA571B"/>
    <w:rsid w:val="00EB0E20"/>
    <w:rsid w:val="00EB219B"/>
    <w:rsid w:val="00EB5482"/>
    <w:rsid w:val="00EB67C1"/>
    <w:rsid w:val="00EC1E6B"/>
    <w:rsid w:val="00EC68B1"/>
    <w:rsid w:val="00ED21FE"/>
    <w:rsid w:val="00ED3ED9"/>
    <w:rsid w:val="00EE2B8E"/>
    <w:rsid w:val="00EE5277"/>
    <w:rsid w:val="00EE64FA"/>
    <w:rsid w:val="00EE65DD"/>
    <w:rsid w:val="00EF6D14"/>
    <w:rsid w:val="00F04DB2"/>
    <w:rsid w:val="00F11BCC"/>
    <w:rsid w:val="00F13B50"/>
    <w:rsid w:val="00F23F26"/>
    <w:rsid w:val="00F30668"/>
    <w:rsid w:val="00F30772"/>
    <w:rsid w:val="00F40DC1"/>
    <w:rsid w:val="00F41049"/>
    <w:rsid w:val="00F43016"/>
    <w:rsid w:val="00F47C3B"/>
    <w:rsid w:val="00F509B4"/>
    <w:rsid w:val="00F548D7"/>
    <w:rsid w:val="00F564A3"/>
    <w:rsid w:val="00F576A1"/>
    <w:rsid w:val="00F57F12"/>
    <w:rsid w:val="00F605C6"/>
    <w:rsid w:val="00F60D34"/>
    <w:rsid w:val="00F637D9"/>
    <w:rsid w:val="00F64AA0"/>
    <w:rsid w:val="00F67963"/>
    <w:rsid w:val="00F71BB5"/>
    <w:rsid w:val="00F770FA"/>
    <w:rsid w:val="00F81842"/>
    <w:rsid w:val="00F82D20"/>
    <w:rsid w:val="00F83378"/>
    <w:rsid w:val="00F83653"/>
    <w:rsid w:val="00F8395C"/>
    <w:rsid w:val="00F83E1B"/>
    <w:rsid w:val="00F84668"/>
    <w:rsid w:val="00F85B46"/>
    <w:rsid w:val="00F905D2"/>
    <w:rsid w:val="00F90716"/>
    <w:rsid w:val="00F9171B"/>
    <w:rsid w:val="00FA1F5C"/>
    <w:rsid w:val="00FA2A84"/>
    <w:rsid w:val="00FA387C"/>
    <w:rsid w:val="00FB3377"/>
    <w:rsid w:val="00FB4E86"/>
    <w:rsid w:val="00FB51E5"/>
    <w:rsid w:val="00FC196A"/>
    <w:rsid w:val="00FD0A85"/>
    <w:rsid w:val="00FD2B58"/>
    <w:rsid w:val="00FD4C56"/>
    <w:rsid w:val="00FE0DF2"/>
    <w:rsid w:val="00FE3D2D"/>
    <w:rsid w:val="00FF16E1"/>
    <w:rsid w:val="00FF6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AC7BB55-DC19-40E7-B76D-A8E494A3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PGSubTitle"/>
    <w:next w:val="Normal"/>
    <w:link w:val="Heading1Char"/>
    <w:qFormat/>
    <w:pPr>
      <w:outlineLvl w:val="0"/>
    </w:pPr>
  </w:style>
  <w:style w:type="paragraph" w:styleId="Heading2">
    <w:name w:val="heading 2"/>
    <w:basedOn w:val="Normal"/>
    <w:next w:val="Normal"/>
    <w:link w:val="Heading2Char"/>
    <w:qFormat/>
    <w:pPr>
      <w:keepNext/>
      <w:ind w:right="100"/>
      <w:jc w:val="center"/>
      <w:outlineLvl w:val="1"/>
    </w:pPr>
    <w:rPr>
      <w:rFonts w:ascii="Arial" w:eastAsia="Times New Roman" w:hAnsi="Arial" w:cs="Arial"/>
      <w:b/>
      <w:bCs/>
      <w:i/>
      <w:iCs/>
      <w:color w:val="800000"/>
      <w:sz w:val="24"/>
      <w:szCs w:val="24"/>
      <w:u w:val="single"/>
      <w:lang w:eastAsia="en-US"/>
    </w:rPr>
  </w:style>
  <w:style w:type="paragraph" w:styleId="Heading9">
    <w:name w:val="heading 9"/>
    <w:basedOn w:val="Normal"/>
    <w:next w:val="Normal"/>
    <w:link w:val="Heading9Char"/>
    <w:uiPriority w:val="9"/>
    <w:semiHidden/>
    <w:unhideWhenUsed/>
    <w:qFormat/>
    <w:rsid w:val="0015520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GNormal">
    <w:name w:val="PG_Normal"/>
    <w:basedOn w:val="Normal"/>
    <w:qFormat/>
    <w:rPr>
      <w:rFonts w:ascii="Avenir LT 55 Roman" w:hAnsi="Avenir LT 55 Roman"/>
      <w:lang w:val="en"/>
    </w:rPr>
  </w:style>
  <w:style w:type="table" w:styleId="TableGrid">
    <w:name w:val="Table Grid"/>
    <w:basedOn w:val="TableNormal"/>
    <w:uiPriority w:val="5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PGSubTitle">
    <w:name w:val="PG_SubTitle"/>
    <w:basedOn w:val="PGNormal"/>
    <w:qFormat/>
    <w:pPr>
      <w:spacing w:after="120"/>
      <w:jc w:val="center"/>
    </w:pPr>
    <w:rPr>
      <w:sz w:val="28"/>
      <w:szCs w:val="28"/>
      <w:u w:val="single"/>
      <w:lang w:val="en-US"/>
    </w:rPr>
  </w:style>
  <w:style w:type="paragraph" w:customStyle="1" w:styleId="PGTableHeader">
    <w:name w:val="PG_TableHeader"/>
    <w:basedOn w:val="PGNormal"/>
    <w:qFormat/>
    <w:rPr>
      <w:rFonts w:eastAsiaTheme="minorHAnsi"/>
      <w:b/>
      <w:color w:val="FFFFFF" w:themeColor="background1"/>
      <w:lang w:eastAsia="en-US"/>
    </w:rPr>
  </w:style>
  <w:style w:type="paragraph" w:styleId="NoSpacing">
    <w:name w:val="No Spacing"/>
    <w:uiPriority w:val="1"/>
    <w:qFormat/>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rPr>
      <w:rFonts w:ascii="Avenir LT 55 Roman" w:hAnsi="Avenir LT 55 Roman"/>
      <w:b/>
      <w:sz w:val="28"/>
      <w:szCs w:val="28"/>
      <w:u w:val="single"/>
      <w:lang w:val="en"/>
    </w:rPr>
  </w:style>
  <w:style w:type="character" w:customStyle="1" w:styleId="Heading2Char">
    <w:name w:val="Heading 2 Char"/>
    <w:basedOn w:val="DefaultParagraphFont"/>
    <w:link w:val="Heading2"/>
    <w:rPr>
      <w:rFonts w:ascii="Arial" w:eastAsia="Times New Roman" w:hAnsi="Arial" w:cs="Arial"/>
      <w:b/>
      <w:bCs/>
      <w:i/>
      <w:iCs/>
      <w:color w:val="800000"/>
      <w:sz w:val="24"/>
      <w:szCs w:val="24"/>
      <w:u w:val="single"/>
      <w:lang w:eastAsia="en-US"/>
    </w:rPr>
  </w:style>
  <w:style w:type="paragraph" w:styleId="NormalWeb">
    <w:name w:val="Normal (Web)"/>
    <w:basedOn w:val="Normal"/>
    <w:uiPriority w:val="99"/>
    <w:unhideWhenUsed/>
    <w:pPr>
      <w:spacing w:before="120" w:after="180" w:line="336" w:lineRule="auto"/>
    </w:pPr>
    <w:rPr>
      <w:rFonts w:ascii="Times New Roman" w:eastAsia="Times New Roman" w:hAnsi="Times New Roman" w:cs="Times New Roman"/>
      <w:sz w:val="24"/>
      <w:szCs w:val="24"/>
      <w:lang w:eastAsia="en-US"/>
    </w:rPr>
  </w:style>
  <w:style w:type="paragraph" w:customStyle="1" w:styleId="Default">
    <w:name w:val="Default"/>
    <w:pPr>
      <w:autoSpaceDE w:val="0"/>
      <w:autoSpaceDN w:val="0"/>
      <w:adjustRightInd w:val="0"/>
    </w:pPr>
    <w:rPr>
      <w:rFonts w:ascii="Calibri" w:eastAsia="Calibri" w:hAnsi="Calibri" w:cs="Calibri"/>
      <w:color w:val="000000"/>
      <w:sz w:val="24"/>
      <w:szCs w:val="24"/>
      <w:lang w:eastAsia="en-US"/>
    </w:rPr>
  </w:style>
  <w:style w:type="paragraph" w:styleId="BodyText3">
    <w:name w:val="Body Text 3"/>
    <w:basedOn w:val="Normal"/>
    <w:link w:val="BodyText3Char"/>
    <w:rPr>
      <w:rFonts w:ascii="Times New Roman" w:eastAsia="Times New Roman" w:hAnsi="Times New Roman" w:cs="Times New Roman"/>
      <w:szCs w:val="24"/>
      <w:lang w:eastAsia="en-US"/>
    </w:rPr>
  </w:style>
  <w:style w:type="character" w:customStyle="1" w:styleId="BodyText3Char">
    <w:name w:val="Body Text 3 Char"/>
    <w:basedOn w:val="DefaultParagraphFont"/>
    <w:link w:val="BodyText3"/>
    <w:rPr>
      <w:rFonts w:ascii="Times New Roman" w:eastAsia="Times New Roman" w:hAnsi="Times New Roman" w:cs="Times New Roman"/>
      <w:sz w:val="20"/>
      <w:szCs w:val="24"/>
      <w:lang w:eastAsia="en-US"/>
    </w:rPr>
  </w:style>
  <w:style w:type="paragraph" w:customStyle="1" w:styleId="PGNormalJustified">
    <w:name w:val="PG_NormalJustified"/>
    <w:basedOn w:val="PGNormal"/>
    <w:qFormat/>
    <w:rPr>
      <w:lang w:val="en-US"/>
    </w:rPr>
  </w:style>
  <w:style w:type="paragraph" w:styleId="ListParagraph">
    <w:name w:val="List Paragraph"/>
    <w:basedOn w:val="Normal"/>
    <w:uiPriority w:val="34"/>
    <w:qFormat/>
    <w:rsid w:val="0060586D"/>
    <w:pPr>
      <w:ind w:left="720"/>
      <w:contextualSpacing/>
    </w:pPr>
  </w:style>
  <w:style w:type="paragraph" w:customStyle="1" w:styleId="verse">
    <w:name w:val="verse"/>
    <w:basedOn w:val="Normal"/>
    <w:rsid w:val="00FA2A84"/>
    <w:pPr>
      <w:spacing w:before="100" w:beforeAutospacing="1" w:after="100" w:afterAutospacing="1"/>
      <w:jc w:val="left"/>
    </w:pPr>
    <w:rPr>
      <w:rFonts w:ascii="Times New Roman" w:eastAsia="Times New Roman" w:hAnsi="Times New Roman" w:cs="Times New Roman"/>
      <w:sz w:val="24"/>
      <w:szCs w:val="24"/>
      <w:lang w:eastAsia="en-US"/>
    </w:rPr>
  </w:style>
  <w:style w:type="character" w:customStyle="1" w:styleId="sd-highlight-inactive">
    <w:name w:val="sd-highlight-inactive"/>
    <w:basedOn w:val="DefaultParagraphFont"/>
    <w:rsid w:val="00FA2A84"/>
  </w:style>
  <w:style w:type="character" w:customStyle="1" w:styleId="sd-highlight">
    <w:name w:val="sd-highlight"/>
    <w:basedOn w:val="DefaultParagraphFont"/>
    <w:rsid w:val="00FA2A84"/>
  </w:style>
  <w:style w:type="character" w:styleId="CommentReference">
    <w:name w:val="annotation reference"/>
    <w:basedOn w:val="DefaultParagraphFont"/>
    <w:uiPriority w:val="99"/>
    <w:semiHidden/>
    <w:unhideWhenUsed/>
    <w:rsid w:val="00F83653"/>
    <w:rPr>
      <w:sz w:val="16"/>
      <w:szCs w:val="16"/>
    </w:rPr>
  </w:style>
  <w:style w:type="paragraph" w:styleId="CommentText">
    <w:name w:val="annotation text"/>
    <w:basedOn w:val="Normal"/>
    <w:link w:val="CommentTextChar"/>
    <w:uiPriority w:val="99"/>
    <w:semiHidden/>
    <w:unhideWhenUsed/>
    <w:rsid w:val="00F83653"/>
    <w:rPr>
      <w:sz w:val="20"/>
      <w:szCs w:val="20"/>
    </w:rPr>
  </w:style>
  <w:style w:type="character" w:customStyle="1" w:styleId="CommentTextChar">
    <w:name w:val="Comment Text Char"/>
    <w:basedOn w:val="DefaultParagraphFont"/>
    <w:link w:val="CommentText"/>
    <w:uiPriority w:val="99"/>
    <w:semiHidden/>
    <w:rsid w:val="00F83653"/>
    <w:rPr>
      <w:sz w:val="20"/>
      <w:szCs w:val="20"/>
    </w:rPr>
  </w:style>
  <w:style w:type="paragraph" w:styleId="CommentSubject">
    <w:name w:val="annotation subject"/>
    <w:basedOn w:val="CommentText"/>
    <w:next w:val="CommentText"/>
    <w:link w:val="CommentSubjectChar"/>
    <w:uiPriority w:val="99"/>
    <w:semiHidden/>
    <w:unhideWhenUsed/>
    <w:rsid w:val="00F83653"/>
    <w:rPr>
      <w:b/>
      <w:bCs/>
    </w:rPr>
  </w:style>
  <w:style w:type="character" w:customStyle="1" w:styleId="CommentSubjectChar">
    <w:name w:val="Comment Subject Char"/>
    <w:basedOn w:val="CommentTextChar"/>
    <w:link w:val="CommentSubject"/>
    <w:uiPriority w:val="99"/>
    <w:semiHidden/>
    <w:rsid w:val="00F83653"/>
    <w:rPr>
      <w:b/>
      <w:bCs/>
      <w:sz w:val="20"/>
      <w:szCs w:val="20"/>
    </w:rPr>
  </w:style>
  <w:style w:type="character" w:customStyle="1" w:styleId="Heading9Char">
    <w:name w:val="Heading 9 Char"/>
    <w:basedOn w:val="DefaultParagraphFont"/>
    <w:link w:val="Heading9"/>
    <w:uiPriority w:val="9"/>
    <w:semiHidden/>
    <w:rsid w:val="0015520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5415">
      <w:bodyDiv w:val="1"/>
      <w:marLeft w:val="0"/>
      <w:marRight w:val="0"/>
      <w:marTop w:val="0"/>
      <w:marBottom w:val="0"/>
      <w:divBdr>
        <w:top w:val="none" w:sz="0" w:space="0" w:color="auto"/>
        <w:left w:val="none" w:sz="0" w:space="0" w:color="auto"/>
        <w:bottom w:val="none" w:sz="0" w:space="0" w:color="auto"/>
        <w:right w:val="none" w:sz="0" w:space="0" w:color="auto"/>
      </w:divBdr>
    </w:div>
    <w:div w:id="230964835">
      <w:bodyDiv w:val="1"/>
      <w:marLeft w:val="0"/>
      <w:marRight w:val="0"/>
      <w:marTop w:val="0"/>
      <w:marBottom w:val="0"/>
      <w:divBdr>
        <w:top w:val="none" w:sz="0" w:space="0" w:color="auto"/>
        <w:left w:val="none" w:sz="0" w:space="0" w:color="auto"/>
        <w:bottom w:val="none" w:sz="0" w:space="0" w:color="auto"/>
        <w:right w:val="none" w:sz="0" w:space="0" w:color="auto"/>
      </w:divBdr>
    </w:div>
    <w:div w:id="242036130">
      <w:bodyDiv w:val="1"/>
      <w:marLeft w:val="0"/>
      <w:marRight w:val="0"/>
      <w:marTop w:val="0"/>
      <w:marBottom w:val="0"/>
      <w:divBdr>
        <w:top w:val="none" w:sz="0" w:space="0" w:color="auto"/>
        <w:left w:val="none" w:sz="0" w:space="0" w:color="auto"/>
        <w:bottom w:val="none" w:sz="0" w:space="0" w:color="auto"/>
        <w:right w:val="none" w:sz="0" w:space="0" w:color="auto"/>
      </w:divBdr>
      <w:divsChild>
        <w:div w:id="163865410">
          <w:marLeft w:val="0"/>
          <w:marRight w:val="0"/>
          <w:marTop w:val="0"/>
          <w:marBottom w:val="0"/>
          <w:divBdr>
            <w:top w:val="none" w:sz="0" w:space="0" w:color="auto"/>
            <w:left w:val="none" w:sz="0" w:space="0" w:color="auto"/>
            <w:bottom w:val="none" w:sz="0" w:space="0" w:color="auto"/>
            <w:right w:val="none" w:sz="0" w:space="0" w:color="auto"/>
          </w:divBdr>
          <w:divsChild>
            <w:div w:id="1576934209">
              <w:marLeft w:val="0"/>
              <w:marRight w:val="0"/>
              <w:marTop w:val="0"/>
              <w:marBottom w:val="0"/>
              <w:divBdr>
                <w:top w:val="none" w:sz="0" w:space="0" w:color="auto"/>
                <w:left w:val="none" w:sz="0" w:space="0" w:color="auto"/>
                <w:bottom w:val="none" w:sz="0" w:space="0" w:color="auto"/>
                <w:right w:val="none" w:sz="0" w:space="0" w:color="auto"/>
              </w:divBdr>
              <w:divsChild>
                <w:div w:id="721364907">
                  <w:marLeft w:val="0"/>
                  <w:marRight w:val="0"/>
                  <w:marTop w:val="0"/>
                  <w:marBottom w:val="0"/>
                  <w:divBdr>
                    <w:top w:val="none" w:sz="0" w:space="0" w:color="auto"/>
                    <w:left w:val="none" w:sz="0" w:space="0" w:color="auto"/>
                    <w:bottom w:val="none" w:sz="0" w:space="0" w:color="auto"/>
                    <w:right w:val="none" w:sz="0" w:space="0" w:color="auto"/>
                  </w:divBdr>
                  <w:divsChild>
                    <w:div w:id="1416122291">
                      <w:marLeft w:val="0"/>
                      <w:marRight w:val="0"/>
                      <w:marTop w:val="0"/>
                      <w:marBottom w:val="0"/>
                      <w:divBdr>
                        <w:top w:val="none" w:sz="0" w:space="0" w:color="auto"/>
                        <w:left w:val="none" w:sz="0" w:space="0" w:color="auto"/>
                        <w:bottom w:val="none" w:sz="0" w:space="0" w:color="auto"/>
                        <w:right w:val="none" w:sz="0" w:space="0" w:color="auto"/>
                      </w:divBdr>
                      <w:divsChild>
                        <w:div w:id="7217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014246">
      <w:bodyDiv w:val="1"/>
      <w:marLeft w:val="0"/>
      <w:marRight w:val="0"/>
      <w:marTop w:val="0"/>
      <w:marBottom w:val="0"/>
      <w:divBdr>
        <w:top w:val="none" w:sz="0" w:space="0" w:color="auto"/>
        <w:left w:val="none" w:sz="0" w:space="0" w:color="auto"/>
        <w:bottom w:val="none" w:sz="0" w:space="0" w:color="auto"/>
        <w:right w:val="none" w:sz="0" w:space="0" w:color="auto"/>
      </w:divBdr>
    </w:div>
    <w:div w:id="378478585">
      <w:bodyDiv w:val="1"/>
      <w:marLeft w:val="0"/>
      <w:marRight w:val="0"/>
      <w:marTop w:val="0"/>
      <w:marBottom w:val="0"/>
      <w:divBdr>
        <w:top w:val="none" w:sz="0" w:space="0" w:color="auto"/>
        <w:left w:val="none" w:sz="0" w:space="0" w:color="auto"/>
        <w:bottom w:val="none" w:sz="0" w:space="0" w:color="auto"/>
        <w:right w:val="none" w:sz="0" w:space="0" w:color="auto"/>
      </w:divBdr>
    </w:div>
    <w:div w:id="422457178">
      <w:bodyDiv w:val="1"/>
      <w:marLeft w:val="0"/>
      <w:marRight w:val="0"/>
      <w:marTop w:val="0"/>
      <w:marBottom w:val="0"/>
      <w:divBdr>
        <w:top w:val="none" w:sz="0" w:space="0" w:color="auto"/>
        <w:left w:val="none" w:sz="0" w:space="0" w:color="auto"/>
        <w:bottom w:val="none" w:sz="0" w:space="0" w:color="auto"/>
        <w:right w:val="none" w:sz="0" w:space="0" w:color="auto"/>
      </w:divBdr>
    </w:div>
    <w:div w:id="497815282">
      <w:bodyDiv w:val="1"/>
      <w:marLeft w:val="0"/>
      <w:marRight w:val="0"/>
      <w:marTop w:val="0"/>
      <w:marBottom w:val="0"/>
      <w:divBdr>
        <w:top w:val="none" w:sz="0" w:space="0" w:color="auto"/>
        <w:left w:val="none" w:sz="0" w:space="0" w:color="auto"/>
        <w:bottom w:val="none" w:sz="0" w:space="0" w:color="auto"/>
        <w:right w:val="none" w:sz="0" w:space="0" w:color="auto"/>
      </w:divBdr>
    </w:div>
    <w:div w:id="810446041">
      <w:bodyDiv w:val="1"/>
      <w:marLeft w:val="0"/>
      <w:marRight w:val="0"/>
      <w:marTop w:val="0"/>
      <w:marBottom w:val="0"/>
      <w:divBdr>
        <w:top w:val="none" w:sz="0" w:space="0" w:color="auto"/>
        <w:left w:val="none" w:sz="0" w:space="0" w:color="auto"/>
        <w:bottom w:val="none" w:sz="0" w:space="0" w:color="auto"/>
        <w:right w:val="none" w:sz="0" w:space="0" w:color="auto"/>
      </w:divBdr>
    </w:div>
    <w:div w:id="882323579">
      <w:bodyDiv w:val="1"/>
      <w:marLeft w:val="0"/>
      <w:marRight w:val="0"/>
      <w:marTop w:val="0"/>
      <w:marBottom w:val="0"/>
      <w:divBdr>
        <w:top w:val="none" w:sz="0" w:space="0" w:color="auto"/>
        <w:left w:val="none" w:sz="0" w:space="0" w:color="auto"/>
        <w:bottom w:val="none" w:sz="0" w:space="0" w:color="auto"/>
        <w:right w:val="none" w:sz="0" w:space="0" w:color="auto"/>
      </w:divBdr>
    </w:div>
    <w:div w:id="960262262">
      <w:bodyDiv w:val="1"/>
      <w:marLeft w:val="0"/>
      <w:marRight w:val="0"/>
      <w:marTop w:val="0"/>
      <w:marBottom w:val="0"/>
      <w:divBdr>
        <w:top w:val="none" w:sz="0" w:space="0" w:color="auto"/>
        <w:left w:val="none" w:sz="0" w:space="0" w:color="auto"/>
        <w:bottom w:val="none" w:sz="0" w:space="0" w:color="auto"/>
        <w:right w:val="none" w:sz="0" w:space="0" w:color="auto"/>
      </w:divBdr>
    </w:div>
    <w:div w:id="983126334">
      <w:bodyDiv w:val="1"/>
      <w:marLeft w:val="0"/>
      <w:marRight w:val="0"/>
      <w:marTop w:val="0"/>
      <w:marBottom w:val="0"/>
      <w:divBdr>
        <w:top w:val="none" w:sz="0" w:space="0" w:color="auto"/>
        <w:left w:val="none" w:sz="0" w:space="0" w:color="auto"/>
        <w:bottom w:val="none" w:sz="0" w:space="0" w:color="auto"/>
        <w:right w:val="none" w:sz="0" w:space="0" w:color="auto"/>
      </w:divBdr>
    </w:div>
    <w:div w:id="1044213015">
      <w:bodyDiv w:val="1"/>
      <w:marLeft w:val="0"/>
      <w:marRight w:val="0"/>
      <w:marTop w:val="0"/>
      <w:marBottom w:val="0"/>
      <w:divBdr>
        <w:top w:val="none" w:sz="0" w:space="0" w:color="auto"/>
        <w:left w:val="none" w:sz="0" w:space="0" w:color="auto"/>
        <w:bottom w:val="none" w:sz="0" w:space="0" w:color="auto"/>
        <w:right w:val="none" w:sz="0" w:space="0" w:color="auto"/>
      </w:divBdr>
    </w:div>
    <w:div w:id="1125008611">
      <w:bodyDiv w:val="1"/>
      <w:marLeft w:val="0"/>
      <w:marRight w:val="0"/>
      <w:marTop w:val="0"/>
      <w:marBottom w:val="0"/>
      <w:divBdr>
        <w:top w:val="none" w:sz="0" w:space="0" w:color="auto"/>
        <w:left w:val="none" w:sz="0" w:space="0" w:color="auto"/>
        <w:bottom w:val="none" w:sz="0" w:space="0" w:color="auto"/>
        <w:right w:val="none" w:sz="0" w:space="0" w:color="auto"/>
      </w:divBdr>
    </w:div>
    <w:div w:id="1216551768">
      <w:bodyDiv w:val="1"/>
      <w:marLeft w:val="0"/>
      <w:marRight w:val="0"/>
      <w:marTop w:val="0"/>
      <w:marBottom w:val="0"/>
      <w:divBdr>
        <w:top w:val="none" w:sz="0" w:space="0" w:color="auto"/>
        <w:left w:val="none" w:sz="0" w:space="0" w:color="auto"/>
        <w:bottom w:val="none" w:sz="0" w:space="0" w:color="auto"/>
        <w:right w:val="none" w:sz="0" w:space="0" w:color="auto"/>
      </w:divBdr>
    </w:div>
    <w:div w:id="1240480046">
      <w:bodyDiv w:val="1"/>
      <w:marLeft w:val="0"/>
      <w:marRight w:val="0"/>
      <w:marTop w:val="0"/>
      <w:marBottom w:val="0"/>
      <w:divBdr>
        <w:top w:val="none" w:sz="0" w:space="0" w:color="auto"/>
        <w:left w:val="none" w:sz="0" w:space="0" w:color="auto"/>
        <w:bottom w:val="none" w:sz="0" w:space="0" w:color="auto"/>
        <w:right w:val="none" w:sz="0" w:space="0" w:color="auto"/>
      </w:divBdr>
    </w:div>
    <w:div w:id="1251819134">
      <w:bodyDiv w:val="1"/>
      <w:marLeft w:val="0"/>
      <w:marRight w:val="0"/>
      <w:marTop w:val="0"/>
      <w:marBottom w:val="0"/>
      <w:divBdr>
        <w:top w:val="none" w:sz="0" w:space="0" w:color="auto"/>
        <w:left w:val="none" w:sz="0" w:space="0" w:color="auto"/>
        <w:bottom w:val="none" w:sz="0" w:space="0" w:color="auto"/>
        <w:right w:val="none" w:sz="0" w:space="0" w:color="auto"/>
      </w:divBdr>
    </w:div>
    <w:div w:id="1395085188">
      <w:bodyDiv w:val="1"/>
      <w:marLeft w:val="0"/>
      <w:marRight w:val="0"/>
      <w:marTop w:val="0"/>
      <w:marBottom w:val="0"/>
      <w:divBdr>
        <w:top w:val="none" w:sz="0" w:space="0" w:color="auto"/>
        <w:left w:val="none" w:sz="0" w:space="0" w:color="auto"/>
        <w:bottom w:val="none" w:sz="0" w:space="0" w:color="auto"/>
        <w:right w:val="none" w:sz="0" w:space="0" w:color="auto"/>
      </w:divBdr>
    </w:div>
    <w:div w:id="1415857583">
      <w:bodyDiv w:val="1"/>
      <w:marLeft w:val="0"/>
      <w:marRight w:val="0"/>
      <w:marTop w:val="0"/>
      <w:marBottom w:val="0"/>
      <w:divBdr>
        <w:top w:val="none" w:sz="0" w:space="0" w:color="auto"/>
        <w:left w:val="none" w:sz="0" w:space="0" w:color="auto"/>
        <w:bottom w:val="none" w:sz="0" w:space="0" w:color="auto"/>
        <w:right w:val="none" w:sz="0" w:space="0" w:color="auto"/>
      </w:divBdr>
    </w:div>
    <w:div w:id="1465270661">
      <w:bodyDiv w:val="1"/>
      <w:marLeft w:val="0"/>
      <w:marRight w:val="0"/>
      <w:marTop w:val="0"/>
      <w:marBottom w:val="0"/>
      <w:divBdr>
        <w:top w:val="none" w:sz="0" w:space="0" w:color="auto"/>
        <w:left w:val="none" w:sz="0" w:space="0" w:color="auto"/>
        <w:bottom w:val="none" w:sz="0" w:space="0" w:color="auto"/>
        <w:right w:val="none" w:sz="0" w:space="0" w:color="auto"/>
      </w:divBdr>
    </w:div>
    <w:div w:id="1505048064">
      <w:bodyDiv w:val="1"/>
      <w:marLeft w:val="0"/>
      <w:marRight w:val="0"/>
      <w:marTop w:val="0"/>
      <w:marBottom w:val="0"/>
      <w:divBdr>
        <w:top w:val="none" w:sz="0" w:space="0" w:color="auto"/>
        <w:left w:val="none" w:sz="0" w:space="0" w:color="auto"/>
        <w:bottom w:val="none" w:sz="0" w:space="0" w:color="auto"/>
        <w:right w:val="none" w:sz="0" w:space="0" w:color="auto"/>
      </w:divBdr>
    </w:div>
    <w:div w:id="1606494213">
      <w:bodyDiv w:val="1"/>
      <w:marLeft w:val="0"/>
      <w:marRight w:val="0"/>
      <w:marTop w:val="0"/>
      <w:marBottom w:val="0"/>
      <w:divBdr>
        <w:top w:val="none" w:sz="0" w:space="0" w:color="auto"/>
        <w:left w:val="none" w:sz="0" w:space="0" w:color="auto"/>
        <w:bottom w:val="none" w:sz="0" w:space="0" w:color="auto"/>
        <w:right w:val="none" w:sz="0" w:space="0" w:color="auto"/>
      </w:divBdr>
    </w:div>
    <w:div w:id="1653292022">
      <w:bodyDiv w:val="1"/>
      <w:marLeft w:val="0"/>
      <w:marRight w:val="0"/>
      <w:marTop w:val="0"/>
      <w:marBottom w:val="0"/>
      <w:divBdr>
        <w:top w:val="none" w:sz="0" w:space="0" w:color="auto"/>
        <w:left w:val="none" w:sz="0" w:space="0" w:color="auto"/>
        <w:bottom w:val="none" w:sz="0" w:space="0" w:color="auto"/>
        <w:right w:val="none" w:sz="0" w:space="0" w:color="auto"/>
      </w:divBdr>
    </w:div>
    <w:div w:id="1663001369">
      <w:bodyDiv w:val="1"/>
      <w:marLeft w:val="0"/>
      <w:marRight w:val="0"/>
      <w:marTop w:val="0"/>
      <w:marBottom w:val="0"/>
      <w:divBdr>
        <w:top w:val="none" w:sz="0" w:space="0" w:color="auto"/>
        <w:left w:val="none" w:sz="0" w:space="0" w:color="auto"/>
        <w:bottom w:val="none" w:sz="0" w:space="0" w:color="auto"/>
        <w:right w:val="none" w:sz="0" w:space="0" w:color="auto"/>
      </w:divBdr>
    </w:div>
    <w:div w:id="1672756581">
      <w:bodyDiv w:val="1"/>
      <w:marLeft w:val="0"/>
      <w:marRight w:val="0"/>
      <w:marTop w:val="0"/>
      <w:marBottom w:val="0"/>
      <w:divBdr>
        <w:top w:val="none" w:sz="0" w:space="0" w:color="auto"/>
        <w:left w:val="none" w:sz="0" w:space="0" w:color="auto"/>
        <w:bottom w:val="none" w:sz="0" w:space="0" w:color="auto"/>
        <w:right w:val="none" w:sz="0" w:space="0" w:color="auto"/>
      </w:divBdr>
    </w:div>
    <w:div w:id="1696810879">
      <w:bodyDiv w:val="1"/>
      <w:marLeft w:val="0"/>
      <w:marRight w:val="0"/>
      <w:marTop w:val="0"/>
      <w:marBottom w:val="0"/>
      <w:divBdr>
        <w:top w:val="none" w:sz="0" w:space="0" w:color="auto"/>
        <w:left w:val="none" w:sz="0" w:space="0" w:color="auto"/>
        <w:bottom w:val="none" w:sz="0" w:space="0" w:color="auto"/>
        <w:right w:val="none" w:sz="0" w:space="0" w:color="auto"/>
      </w:divBdr>
    </w:div>
    <w:div w:id="1722169487">
      <w:bodyDiv w:val="1"/>
      <w:marLeft w:val="0"/>
      <w:marRight w:val="0"/>
      <w:marTop w:val="0"/>
      <w:marBottom w:val="0"/>
      <w:divBdr>
        <w:top w:val="none" w:sz="0" w:space="0" w:color="auto"/>
        <w:left w:val="none" w:sz="0" w:space="0" w:color="auto"/>
        <w:bottom w:val="none" w:sz="0" w:space="0" w:color="auto"/>
        <w:right w:val="none" w:sz="0" w:space="0" w:color="auto"/>
      </w:divBdr>
    </w:div>
    <w:div w:id="1737780904">
      <w:bodyDiv w:val="1"/>
      <w:marLeft w:val="0"/>
      <w:marRight w:val="0"/>
      <w:marTop w:val="0"/>
      <w:marBottom w:val="0"/>
      <w:divBdr>
        <w:top w:val="none" w:sz="0" w:space="0" w:color="auto"/>
        <w:left w:val="none" w:sz="0" w:space="0" w:color="auto"/>
        <w:bottom w:val="none" w:sz="0" w:space="0" w:color="auto"/>
        <w:right w:val="none" w:sz="0" w:space="0" w:color="auto"/>
      </w:divBdr>
    </w:div>
    <w:div w:id="1821194377">
      <w:bodyDiv w:val="1"/>
      <w:marLeft w:val="0"/>
      <w:marRight w:val="0"/>
      <w:marTop w:val="0"/>
      <w:marBottom w:val="0"/>
      <w:divBdr>
        <w:top w:val="none" w:sz="0" w:space="0" w:color="auto"/>
        <w:left w:val="none" w:sz="0" w:space="0" w:color="auto"/>
        <w:bottom w:val="none" w:sz="0" w:space="0" w:color="auto"/>
        <w:right w:val="none" w:sz="0" w:space="0" w:color="auto"/>
      </w:divBdr>
    </w:div>
    <w:div w:id="1822307075">
      <w:bodyDiv w:val="1"/>
      <w:marLeft w:val="0"/>
      <w:marRight w:val="0"/>
      <w:marTop w:val="0"/>
      <w:marBottom w:val="0"/>
      <w:divBdr>
        <w:top w:val="none" w:sz="0" w:space="0" w:color="auto"/>
        <w:left w:val="none" w:sz="0" w:space="0" w:color="auto"/>
        <w:bottom w:val="none" w:sz="0" w:space="0" w:color="auto"/>
        <w:right w:val="none" w:sz="0" w:space="0" w:color="auto"/>
      </w:divBdr>
    </w:div>
    <w:div w:id="1824198394">
      <w:bodyDiv w:val="1"/>
      <w:marLeft w:val="0"/>
      <w:marRight w:val="0"/>
      <w:marTop w:val="0"/>
      <w:marBottom w:val="0"/>
      <w:divBdr>
        <w:top w:val="none" w:sz="0" w:space="0" w:color="auto"/>
        <w:left w:val="none" w:sz="0" w:space="0" w:color="auto"/>
        <w:bottom w:val="none" w:sz="0" w:space="0" w:color="auto"/>
        <w:right w:val="none" w:sz="0" w:space="0" w:color="auto"/>
      </w:divBdr>
    </w:div>
    <w:div w:id="1843735740">
      <w:bodyDiv w:val="1"/>
      <w:marLeft w:val="0"/>
      <w:marRight w:val="0"/>
      <w:marTop w:val="0"/>
      <w:marBottom w:val="0"/>
      <w:divBdr>
        <w:top w:val="none" w:sz="0" w:space="0" w:color="auto"/>
        <w:left w:val="none" w:sz="0" w:space="0" w:color="auto"/>
        <w:bottom w:val="none" w:sz="0" w:space="0" w:color="auto"/>
        <w:right w:val="none" w:sz="0" w:space="0" w:color="auto"/>
      </w:divBdr>
    </w:div>
    <w:div w:id="1852794488">
      <w:bodyDiv w:val="1"/>
      <w:marLeft w:val="0"/>
      <w:marRight w:val="0"/>
      <w:marTop w:val="0"/>
      <w:marBottom w:val="0"/>
      <w:divBdr>
        <w:top w:val="none" w:sz="0" w:space="0" w:color="auto"/>
        <w:left w:val="none" w:sz="0" w:space="0" w:color="auto"/>
        <w:bottom w:val="none" w:sz="0" w:space="0" w:color="auto"/>
        <w:right w:val="none" w:sz="0" w:space="0" w:color="auto"/>
      </w:divBdr>
    </w:div>
    <w:div w:id="1871724785">
      <w:bodyDiv w:val="1"/>
      <w:marLeft w:val="0"/>
      <w:marRight w:val="0"/>
      <w:marTop w:val="0"/>
      <w:marBottom w:val="0"/>
      <w:divBdr>
        <w:top w:val="none" w:sz="0" w:space="0" w:color="auto"/>
        <w:left w:val="none" w:sz="0" w:space="0" w:color="auto"/>
        <w:bottom w:val="none" w:sz="0" w:space="0" w:color="auto"/>
        <w:right w:val="none" w:sz="0" w:space="0" w:color="auto"/>
      </w:divBdr>
    </w:div>
    <w:div w:id="1926762417">
      <w:bodyDiv w:val="1"/>
      <w:marLeft w:val="0"/>
      <w:marRight w:val="0"/>
      <w:marTop w:val="0"/>
      <w:marBottom w:val="0"/>
      <w:divBdr>
        <w:top w:val="none" w:sz="0" w:space="0" w:color="auto"/>
        <w:left w:val="none" w:sz="0" w:space="0" w:color="auto"/>
        <w:bottom w:val="none" w:sz="0" w:space="0" w:color="auto"/>
        <w:right w:val="none" w:sz="0" w:space="0" w:color="auto"/>
      </w:divBdr>
    </w:div>
    <w:div w:id="1980911762">
      <w:bodyDiv w:val="1"/>
      <w:marLeft w:val="0"/>
      <w:marRight w:val="0"/>
      <w:marTop w:val="0"/>
      <w:marBottom w:val="0"/>
      <w:divBdr>
        <w:top w:val="none" w:sz="0" w:space="0" w:color="auto"/>
        <w:left w:val="none" w:sz="0" w:space="0" w:color="auto"/>
        <w:bottom w:val="none" w:sz="0" w:space="0" w:color="auto"/>
        <w:right w:val="none" w:sz="0" w:space="0" w:color="auto"/>
      </w:divBdr>
    </w:div>
    <w:div w:id="1997611977">
      <w:bodyDiv w:val="1"/>
      <w:marLeft w:val="0"/>
      <w:marRight w:val="0"/>
      <w:marTop w:val="0"/>
      <w:marBottom w:val="0"/>
      <w:divBdr>
        <w:top w:val="none" w:sz="0" w:space="0" w:color="auto"/>
        <w:left w:val="none" w:sz="0" w:space="0" w:color="auto"/>
        <w:bottom w:val="none" w:sz="0" w:space="0" w:color="auto"/>
        <w:right w:val="none" w:sz="0" w:space="0" w:color="auto"/>
      </w:divBdr>
    </w:div>
    <w:div w:id="204867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6CF1E-5224-4A81-8C62-52548CE4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SS&amp;C Technologies Canada</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vxie</dc:creator>
  <cp:lastModifiedBy>Denise Lollis</cp:lastModifiedBy>
  <cp:revision>2</cp:revision>
  <cp:lastPrinted>2022-04-05T13:15:00Z</cp:lastPrinted>
  <dcterms:created xsi:type="dcterms:W3CDTF">2022-04-07T19:51:00Z</dcterms:created>
  <dcterms:modified xsi:type="dcterms:W3CDTF">2022-04-07T19:51:00Z</dcterms:modified>
</cp:coreProperties>
</file>